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B745" w14:textId="7EED448E"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bookmarkStart w:id="1" w:name="_Toc475362737"/>
      <w:bookmarkStart w:id="2" w:name="_Toc475976548"/>
      <w:bookmarkStart w:id="3" w:name="_Toc479668418"/>
    </w:p>
    <w:p w14:paraId="6F6BFDE2" w14:textId="77777777" w:rsidR="000B1D7A" w:rsidRPr="009A66BD" w:rsidRDefault="000B1D7A" w:rsidP="00754948">
      <w:pPr>
        <w:spacing w:line="240" w:lineRule="auto"/>
        <w:ind w:firstLine="0"/>
        <w:jc w:val="center"/>
        <w:rPr>
          <w:rFonts w:asciiTheme="minorHAnsi" w:eastAsia="MS Mincho" w:hAnsiTheme="minorHAnsi" w:cstheme="minorHAnsi"/>
          <w:b/>
          <w:color w:val="1F497D"/>
          <w:sz w:val="32"/>
          <w:szCs w:val="22"/>
          <w:lang w:val="sq-AL"/>
        </w:rPr>
      </w:pPr>
    </w:p>
    <w:p w14:paraId="08D88BEB" w14:textId="77777777"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p>
    <w:p w14:paraId="767C632D" w14:textId="77777777"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p>
    <w:p w14:paraId="1CF5A704" w14:textId="77777777"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p>
    <w:p w14:paraId="17150D10" w14:textId="77777777"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p>
    <w:p w14:paraId="1DA2D2AA" w14:textId="77777777"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p>
    <w:p w14:paraId="0A7891E9" w14:textId="77777777" w:rsidR="00754948" w:rsidRPr="009A66BD" w:rsidRDefault="00754948" w:rsidP="00754948">
      <w:pPr>
        <w:spacing w:line="240" w:lineRule="auto"/>
        <w:ind w:firstLine="0"/>
        <w:jc w:val="center"/>
        <w:rPr>
          <w:rFonts w:asciiTheme="minorHAnsi" w:eastAsia="MS Mincho" w:hAnsiTheme="minorHAnsi" w:cstheme="minorHAnsi"/>
          <w:b/>
          <w:color w:val="1F497D"/>
          <w:sz w:val="32"/>
          <w:szCs w:val="22"/>
          <w:lang w:val="sq-AL"/>
        </w:rPr>
      </w:pPr>
    </w:p>
    <w:p w14:paraId="1BB06D53" w14:textId="77777777" w:rsidR="00374228" w:rsidRPr="009A66BD" w:rsidRDefault="00374228" w:rsidP="00374228">
      <w:pPr>
        <w:spacing w:line="240" w:lineRule="auto"/>
        <w:ind w:firstLine="0"/>
        <w:jc w:val="center"/>
        <w:rPr>
          <w:rFonts w:asciiTheme="minorHAnsi" w:eastAsia="MS Mincho" w:hAnsiTheme="minorHAnsi" w:cstheme="minorHAnsi"/>
          <w:b/>
          <w:bCs/>
          <w:color w:val="1F497D"/>
          <w:sz w:val="32"/>
          <w:szCs w:val="32"/>
          <w:lang w:val="sq-AL"/>
        </w:rPr>
      </w:pPr>
      <w:r w:rsidRPr="009A66BD">
        <w:rPr>
          <w:rFonts w:asciiTheme="minorHAnsi" w:eastAsia="MS Mincho" w:hAnsiTheme="minorHAnsi" w:cstheme="minorHAnsi"/>
          <w:b/>
          <w:bCs/>
          <w:color w:val="1F497D"/>
          <w:sz w:val="32"/>
          <w:szCs w:val="32"/>
          <w:lang w:val="sq-AL"/>
        </w:rPr>
        <w:t>Plani i Veprimit për Reformën e Investimeve</w:t>
      </w:r>
    </w:p>
    <w:p w14:paraId="206B5F43" w14:textId="7F15828E" w:rsidR="00B95117" w:rsidRPr="009A66BD" w:rsidRDefault="00374228" w:rsidP="00374228">
      <w:pPr>
        <w:spacing w:line="240" w:lineRule="auto"/>
        <w:ind w:firstLine="0"/>
        <w:jc w:val="center"/>
        <w:rPr>
          <w:rFonts w:asciiTheme="minorHAnsi" w:eastAsia="MS Mincho" w:hAnsiTheme="minorHAnsi" w:cstheme="minorHAnsi"/>
          <w:b/>
          <w:color w:val="1F497D"/>
          <w:sz w:val="32"/>
          <w:szCs w:val="32"/>
          <w:lang w:val="sq-AL"/>
        </w:rPr>
      </w:pPr>
      <w:r w:rsidRPr="009A66BD">
        <w:rPr>
          <w:rFonts w:asciiTheme="minorHAnsi" w:eastAsia="MS Mincho" w:hAnsiTheme="minorHAnsi" w:cstheme="minorHAnsi"/>
          <w:b/>
          <w:bCs/>
          <w:color w:val="1F497D"/>
          <w:sz w:val="32"/>
          <w:szCs w:val="32"/>
          <w:lang w:val="sq-AL"/>
        </w:rPr>
        <w:t xml:space="preserve">për Qeverinë e Kosovës </w:t>
      </w:r>
      <w:r w:rsidR="00AE77E9" w:rsidRPr="009A66BD">
        <w:rPr>
          <w:rFonts w:asciiTheme="minorHAnsi" w:eastAsia="MS Mincho" w:hAnsiTheme="minorHAnsi" w:cstheme="minorHAnsi"/>
          <w:b/>
          <w:bCs/>
          <w:color w:val="1F497D"/>
          <w:sz w:val="32"/>
          <w:szCs w:val="32"/>
          <w:lang w:val="sq-AL"/>
        </w:rPr>
        <w:t>*</w:t>
      </w:r>
      <w:r w:rsidR="00AE77E9" w:rsidRPr="009A66BD">
        <w:rPr>
          <w:rStyle w:val="FootnoteReference"/>
          <w:rFonts w:asciiTheme="minorHAnsi" w:eastAsia="MS Mincho" w:hAnsiTheme="minorHAnsi" w:cstheme="minorHAnsi"/>
          <w:b/>
          <w:bCs/>
          <w:color w:val="1F497D"/>
          <w:sz w:val="2"/>
          <w:szCs w:val="2"/>
          <w:lang w:val="sq-AL"/>
        </w:rPr>
        <w:footnoteReference w:id="2"/>
      </w:r>
    </w:p>
    <w:p w14:paraId="52325A84" w14:textId="77777777" w:rsidR="00B95117" w:rsidRPr="009A66BD" w:rsidRDefault="00B95117" w:rsidP="00B95117">
      <w:pPr>
        <w:spacing w:line="240" w:lineRule="auto"/>
        <w:ind w:firstLine="0"/>
        <w:jc w:val="center"/>
        <w:rPr>
          <w:rFonts w:asciiTheme="minorHAnsi" w:eastAsia="MS Mincho" w:hAnsiTheme="minorHAnsi" w:cstheme="minorHAnsi"/>
          <w:b/>
          <w:color w:val="1F497D"/>
          <w:sz w:val="32"/>
          <w:szCs w:val="22"/>
          <w:lang w:val="sq-AL"/>
        </w:rPr>
      </w:pPr>
    </w:p>
    <w:p w14:paraId="70C7573C" w14:textId="77777777" w:rsidR="00B95117" w:rsidRPr="009A66BD" w:rsidRDefault="00B95117" w:rsidP="00B95117">
      <w:pPr>
        <w:spacing w:line="240" w:lineRule="auto"/>
        <w:ind w:firstLine="0"/>
        <w:jc w:val="center"/>
        <w:rPr>
          <w:rFonts w:asciiTheme="minorHAnsi" w:eastAsia="MS Mincho" w:hAnsiTheme="minorHAnsi" w:cstheme="minorHAnsi"/>
          <w:b/>
          <w:color w:val="1F497D"/>
          <w:sz w:val="32"/>
          <w:szCs w:val="22"/>
          <w:lang w:val="sq-AL"/>
        </w:rPr>
      </w:pPr>
    </w:p>
    <w:p w14:paraId="2A6A9E78" w14:textId="65F0134C" w:rsidR="00B95117" w:rsidRPr="009A66BD" w:rsidRDefault="00B95117" w:rsidP="00B95117">
      <w:pPr>
        <w:spacing w:line="240" w:lineRule="auto"/>
        <w:ind w:firstLine="0"/>
        <w:jc w:val="center"/>
        <w:rPr>
          <w:rFonts w:asciiTheme="minorHAnsi" w:eastAsia="MS Mincho" w:hAnsiTheme="minorHAnsi" w:cstheme="minorHAnsi"/>
          <w:b/>
          <w:color w:val="1F497D"/>
          <w:sz w:val="32"/>
          <w:szCs w:val="22"/>
          <w:lang w:val="sq-AL"/>
        </w:rPr>
      </w:pPr>
    </w:p>
    <w:p w14:paraId="462136BB" w14:textId="77777777" w:rsidR="00EE2F55" w:rsidRPr="009A66BD" w:rsidRDefault="00EE2F55" w:rsidP="00B95117">
      <w:pPr>
        <w:spacing w:line="240" w:lineRule="auto"/>
        <w:ind w:firstLine="0"/>
        <w:jc w:val="center"/>
        <w:rPr>
          <w:rFonts w:asciiTheme="minorHAnsi" w:eastAsia="MS Mincho" w:hAnsiTheme="minorHAnsi" w:cstheme="minorHAnsi"/>
          <w:b/>
          <w:color w:val="1F497D"/>
          <w:sz w:val="32"/>
          <w:szCs w:val="22"/>
          <w:lang w:val="sq-AL"/>
        </w:rPr>
      </w:pPr>
    </w:p>
    <w:p w14:paraId="574E3D3B" w14:textId="77777777" w:rsidR="00B95117" w:rsidRPr="009A66BD" w:rsidRDefault="00B95117" w:rsidP="00B95117">
      <w:pPr>
        <w:spacing w:line="240" w:lineRule="auto"/>
        <w:ind w:firstLine="0"/>
        <w:jc w:val="center"/>
        <w:rPr>
          <w:rFonts w:asciiTheme="minorHAnsi" w:eastAsia="MS Mincho" w:hAnsiTheme="minorHAnsi" w:cstheme="minorHAnsi"/>
          <w:b/>
          <w:color w:val="1F497D"/>
          <w:sz w:val="32"/>
          <w:szCs w:val="22"/>
          <w:lang w:val="sq-AL"/>
        </w:rPr>
      </w:pPr>
    </w:p>
    <w:p w14:paraId="6F8FDFE4" w14:textId="77777777" w:rsidR="00B95117" w:rsidRPr="009A66BD" w:rsidRDefault="00B95117" w:rsidP="00B95117">
      <w:pPr>
        <w:spacing w:line="240" w:lineRule="auto"/>
        <w:ind w:firstLine="0"/>
        <w:jc w:val="center"/>
        <w:rPr>
          <w:rFonts w:asciiTheme="minorHAnsi" w:eastAsia="MS Mincho" w:hAnsiTheme="minorHAnsi" w:cstheme="minorHAnsi"/>
          <w:b/>
          <w:color w:val="1F497D"/>
          <w:sz w:val="32"/>
          <w:szCs w:val="22"/>
          <w:lang w:val="sq-AL"/>
        </w:rPr>
      </w:pPr>
    </w:p>
    <w:p w14:paraId="28C7A1B6" w14:textId="4B6F040F" w:rsidR="00B95117" w:rsidRPr="009A66BD" w:rsidRDefault="00374228" w:rsidP="00B95117">
      <w:pPr>
        <w:spacing w:line="240" w:lineRule="auto"/>
        <w:ind w:firstLine="0"/>
        <w:jc w:val="center"/>
        <w:rPr>
          <w:rFonts w:asciiTheme="minorHAnsi" w:eastAsiaTheme="minorEastAsia" w:hAnsiTheme="minorHAnsi" w:cstheme="minorHAnsi"/>
          <w:sz w:val="32"/>
          <w:szCs w:val="22"/>
          <w:lang w:val="sq-AL"/>
        </w:rPr>
      </w:pPr>
      <w:r w:rsidRPr="009A66BD">
        <w:rPr>
          <w:rFonts w:asciiTheme="minorHAnsi" w:eastAsiaTheme="minorEastAsia" w:hAnsiTheme="minorHAnsi" w:cstheme="minorHAnsi"/>
          <w:sz w:val="32"/>
          <w:szCs w:val="32"/>
          <w:lang w:val="sq-AL"/>
        </w:rPr>
        <w:t>DRAFT PËR DISKUTIM</w:t>
      </w:r>
    </w:p>
    <w:p w14:paraId="5D270020" w14:textId="5C9CCB54" w:rsidR="00EE2F55" w:rsidRPr="009A66BD" w:rsidRDefault="00EE2F55" w:rsidP="00B95117">
      <w:pPr>
        <w:spacing w:line="240" w:lineRule="auto"/>
        <w:ind w:firstLine="0"/>
        <w:jc w:val="center"/>
        <w:rPr>
          <w:rFonts w:asciiTheme="minorHAnsi" w:eastAsiaTheme="minorEastAsia" w:hAnsiTheme="minorHAnsi" w:cstheme="minorHAnsi"/>
          <w:sz w:val="32"/>
          <w:szCs w:val="22"/>
          <w:lang w:val="sq-AL"/>
        </w:rPr>
      </w:pPr>
    </w:p>
    <w:p w14:paraId="06312C96" w14:textId="27882C84" w:rsidR="00EE2F55" w:rsidRPr="009A66BD" w:rsidRDefault="00EE2F55" w:rsidP="00B95117">
      <w:pPr>
        <w:spacing w:line="240" w:lineRule="auto"/>
        <w:ind w:firstLine="0"/>
        <w:jc w:val="center"/>
        <w:rPr>
          <w:rFonts w:asciiTheme="minorHAnsi" w:eastAsiaTheme="minorEastAsia" w:hAnsiTheme="minorHAnsi" w:cstheme="minorHAnsi"/>
          <w:sz w:val="32"/>
          <w:szCs w:val="22"/>
          <w:lang w:val="sq-AL"/>
        </w:rPr>
      </w:pPr>
    </w:p>
    <w:p w14:paraId="2E209C5F" w14:textId="341BA8E0" w:rsidR="00EE2F55" w:rsidRPr="009A66BD" w:rsidRDefault="00EE2F55" w:rsidP="00B95117">
      <w:pPr>
        <w:spacing w:line="240" w:lineRule="auto"/>
        <w:ind w:firstLine="0"/>
        <w:jc w:val="center"/>
        <w:rPr>
          <w:rFonts w:asciiTheme="minorHAnsi" w:eastAsiaTheme="minorEastAsia" w:hAnsiTheme="minorHAnsi" w:cstheme="minorHAnsi"/>
          <w:sz w:val="32"/>
          <w:szCs w:val="22"/>
          <w:lang w:val="sq-AL"/>
        </w:rPr>
      </w:pPr>
    </w:p>
    <w:p w14:paraId="242A7457" w14:textId="77777777" w:rsidR="00EE2F55" w:rsidRPr="009A66BD" w:rsidRDefault="00EE2F55" w:rsidP="00B95117">
      <w:pPr>
        <w:spacing w:line="240" w:lineRule="auto"/>
        <w:ind w:firstLine="0"/>
        <w:jc w:val="center"/>
        <w:rPr>
          <w:rFonts w:asciiTheme="minorHAnsi" w:eastAsiaTheme="minorEastAsia" w:hAnsiTheme="minorHAnsi" w:cstheme="minorHAnsi"/>
          <w:sz w:val="32"/>
          <w:szCs w:val="22"/>
          <w:lang w:val="sq-AL"/>
        </w:rPr>
      </w:pPr>
    </w:p>
    <w:p w14:paraId="0D938E20" w14:textId="77777777" w:rsidR="00B95117" w:rsidRPr="009A66BD" w:rsidRDefault="00B95117" w:rsidP="00B95117">
      <w:pPr>
        <w:spacing w:line="240" w:lineRule="auto"/>
        <w:ind w:firstLine="0"/>
        <w:jc w:val="center"/>
        <w:rPr>
          <w:rFonts w:asciiTheme="minorHAnsi" w:eastAsiaTheme="minorEastAsia" w:hAnsiTheme="minorHAnsi" w:cstheme="minorHAnsi"/>
          <w:sz w:val="32"/>
          <w:szCs w:val="22"/>
          <w:lang w:val="sq-AL"/>
        </w:rPr>
      </w:pPr>
    </w:p>
    <w:p w14:paraId="70C00E48" w14:textId="6137D123" w:rsidR="00B95117" w:rsidRPr="009A66BD" w:rsidRDefault="00374228" w:rsidP="72A5C518">
      <w:pPr>
        <w:spacing w:after="160" w:line="259" w:lineRule="auto"/>
        <w:ind w:firstLine="0"/>
        <w:jc w:val="center"/>
        <w:rPr>
          <w:rFonts w:asciiTheme="minorHAnsi" w:eastAsiaTheme="minorEastAsia" w:hAnsiTheme="minorHAnsi" w:cstheme="minorHAnsi"/>
          <w:b/>
          <w:bCs/>
          <w:i/>
          <w:iCs/>
          <w:sz w:val="22"/>
          <w:szCs w:val="22"/>
          <w:lang w:val="sq-AL"/>
        </w:rPr>
      </w:pPr>
      <w:r w:rsidRPr="009A66BD">
        <w:rPr>
          <w:rFonts w:asciiTheme="minorHAnsi" w:eastAsiaTheme="minorEastAsia" w:hAnsiTheme="minorHAnsi" w:cstheme="minorHAnsi"/>
          <w:b/>
          <w:bCs/>
          <w:i/>
          <w:iCs/>
          <w:sz w:val="22"/>
          <w:szCs w:val="22"/>
          <w:lang w:val="sq-AL"/>
        </w:rPr>
        <w:t>Nëntor</w:t>
      </w:r>
      <w:r w:rsidR="72A5C518" w:rsidRPr="009A66BD">
        <w:rPr>
          <w:rFonts w:asciiTheme="minorHAnsi" w:eastAsiaTheme="minorEastAsia" w:hAnsiTheme="minorHAnsi" w:cstheme="minorHAnsi"/>
          <w:b/>
          <w:bCs/>
          <w:i/>
          <w:iCs/>
          <w:sz w:val="22"/>
          <w:szCs w:val="22"/>
          <w:lang w:val="sq-AL"/>
        </w:rPr>
        <w:t xml:space="preserve"> 2018</w:t>
      </w:r>
    </w:p>
    <w:p w14:paraId="12F0C3E4" w14:textId="77777777" w:rsidR="00B95117" w:rsidRPr="009A66BD" w:rsidRDefault="00B95117" w:rsidP="00B95117">
      <w:pPr>
        <w:spacing w:line="259" w:lineRule="auto"/>
        <w:ind w:firstLine="0"/>
        <w:jc w:val="center"/>
        <w:rPr>
          <w:rFonts w:asciiTheme="minorHAnsi" w:eastAsiaTheme="minorHAnsi" w:hAnsiTheme="minorHAnsi" w:cstheme="minorHAnsi"/>
          <w:sz w:val="22"/>
          <w:szCs w:val="22"/>
          <w:lang w:val="sq-AL"/>
        </w:rPr>
      </w:pPr>
    </w:p>
    <w:p w14:paraId="3997AC50" w14:textId="77777777" w:rsidR="00B95117" w:rsidRPr="009A66BD" w:rsidRDefault="00B95117" w:rsidP="00B95117">
      <w:pPr>
        <w:spacing w:line="259" w:lineRule="auto"/>
        <w:ind w:firstLine="0"/>
        <w:jc w:val="center"/>
        <w:rPr>
          <w:rFonts w:asciiTheme="minorHAnsi" w:eastAsiaTheme="minorHAnsi" w:hAnsiTheme="minorHAnsi" w:cstheme="minorHAnsi"/>
          <w:sz w:val="22"/>
          <w:szCs w:val="22"/>
          <w:lang w:val="sq-AL"/>
        </w:rPr>
      </w:pPr>
    </w:p>
    <w:p w14:paraId="449978BD" w14:textId="77777777" w:rsidR="00754948" w:rsidRPr="009A66BD" w:rsidRDefault="00754948" w:rsidP="00754948">
      <w:pPr>
        <w:spacing w:after="160" w:line="259" w:lineRule="auto"/>
        <w:ind w:firstLine="0"/>
        <w:jc w:val="left"/>
        <w:rPr>
          <w:rFonts w:asciiTheme="minorHAnsi" w:eastAsia="Batang" w:hAnsiTheme="minorHAnsi" w:cstheme="minorHAnsi"/>
          <w:sz w:val="22"/>
          <w:szCs w:val="22"/>
          <w:lang w:val="sq-AL"/>
        </w:rPr>
        <w:sectPr w:rsidR="00754948" w:rsidRPr="009A66BD" w:rsidSect="001058F0">
          <w:headerReference w:type="default" r:id="rId9"/>
          <w:footerReference w:type="default" r:id="rId10"/>
          <w:footerReference w:type="first" r:id="rId11"/>
          <w:pgSz w:w="11906" w:h="16838" w:code="9"/>
          <w:pgMar w:top="1440" w:right="1440" w:bottom="1440" w:left="1440" w:header="720" w:footer="720" w:gutter="0"/>
          <w:cols w:space="720"/>
          <w:titlePg/>
          <w:docGrid w:linePitch="360"/>
        </w:sectPr>
      </w:pPr>
    </w:p>
    <w:bookmarkEnd w:id="1"/>
    <w:bookmarkEnd w:id="2"/>
    <w:bookmarkEnd w:id="3"/>
    <w:p w14:paraId="253A2B59" w14:textId="77777777" w:rsidR="001126BC" w:rsidRPr="009A66BD" w:rsidRDefault="001126BC" w:rsidP="72A5C518">
      <w:pPr>
        <w:spacing w:after="160" w:line="259" w:lineRule="auto"/>
        <w:ind w:firstLine="0"/>
        <w:rPr>
          <w:rFonts w:asciiTheme="minorHAnsi" w:eastAsia="MS Mincho" w:hAnsiTheme="minorHAnsi" w:cstheme="minorHAnsi"/>
          <w:b/>
          <w:bCs/>
          <w:color w:val="1F497D"/>
          <w:sz w:val="24"/>
          <w:lang w:val="sq-AL"/>
        </w:rPr>
      </w:pPr>
      <w:r w:rsidRPr="009A66BD">
        <w:rPr>
          <w:rFonts w:asciiTheme="minorHAnsi" w:eastAsia="MS Mincho" w:hAnsiTheme="minorHAnsi" w:cstheme="minorHAnsi"/>
          <w:b/>
          <w:bCs/>
          <w:color w:val="1F497D"/>
          <w:sz w:val="24"/>
          <w:lang w:val="sq-AL"/>
        </w:rPr>
        <w:lastRenderedPageBreak/>
        <w:t>Konteksti dhe arsyetimi</w:t>
      </w:r>
    </w:p>
    <w:p w14:paraId="100036DD" w14:textId="435866D0" w:rsidR="00EE2F55" w:rsidRPr="009A66BD" w:rsidRDefault="001126BC" w:rsidP="72A5C518">
      <w:pPr>
        <w:spacing w:after="160" w:line="259" w:lineRule="auto"/>
        <w:ind w:firstLine="0"/>
        <w:rPr>
          <w:rFonts w:asciiTheme="minorHAnsi" w:hAnsiTheme="minorHAnsi" w:cstheme="minorHAnsi"/>
          <w:sz w:val="22"/>
          <w:szCs w:val="22"/>
          <w:lang w:val="sq-AL"/>
        </w:rPr>
      </w:pPr>
      <w:r w:rsidRPr="009A66BD">
        <w:rPr>
          <w:rFonts w:asciiTheme="minorHAnsi" w:hAnsiTheme="minorHAnsi" w:cstheme="minorHAnsi"/>
          <w:sz w:val="22"/>
          <w:szCs w:val="22"/>
          <w:lang w:val="sq-AL"/>
        </w:rPr>
        <w:t>Për t'u zhvilluar</w:t>
      </w:r>
      <w:r w:rsidR="72A5C518" w:rsidRPr="009A66BD">
        <w:rPr>
          <w:rFonts w:asciiTheme="minorHAnsi" w:hAnsiTheme="minorHAnsi" w:cstheme="minorHAnsi"/>
          <w:sz w:val="22"/>
          <w:szCs w:val="22"/>
          <w:lang w:val="sq-AL"/>
        </w:rPr>
        <w:t>.</w:t>
      </w:r>
    </w:p>
    <w:p w14:paraId="44128054" w14:textId="67EF1D2D" w:rsidR="00EE2F55" w:rsidRPr="009A66BD" w:rsidRDefault="00EE2F55" w:rsidP="008A2CBF">
      <w:pPr>
        <w:spacing w:after="160" w:line="259" w:lineRule="auto"/>
        <w:ind w:firstLine="0"/>
        <w:rPr>
          <w:rFonts w:asciiTheme="minorHAnsi" w:eastAsia="SimSun" w:hAnsiTheme="minorHAnsi" w:cstheme="minorHAnsi"/>
          <w:szCs w:val="18"/>
          <w:lang w:val="sq-AL" w:eastAsia="zh-CN"/>
        </w:rPr>
      </w:pPr>
    </w:p>
    <w:p w14:paraId="5B3F2BFA" w14:textId="77777777" w:rsidR="00EE2F55" w:rsidRPr="009A66BD" w:rsidRDefault="00EE2F55" w:rsidP="00B95117">
      <w:pPr>
        <w:spacing w:line="360" w:lineRule="auto"/>
        <w:ind w:firstLine="0"/>
        <w:rPr>
          <w:rFonts w:asciiTheme="minorHAnsi" w:eastAsia="SimSun" w:hAnsiTheme="minorHAnsi" w:cstheme="minorHAnsi"/>
          <w:sz w:val="18"/>
          <w:szCs w:val="18"/>
          <w:lang w:val="sq-AL" w:eastAsia="zh-CN"/>
        </w:rPr>
        <w:sectPr w:rsidR="00EE2F55" w:rsidRPr="009A66BD" w:rsidSect="00A37A19">
          <w:headerReference w:type="default" r:id="rId12"/>
          <w:footerReference w:type="default" r:id="rId13"/>
          <w:pgSz w:w="11906" w:h="16838" w:code="9"/>
          <w:pgMar w:top="1440" w:right="1440" w:bottom="1440" w:left="1440" w:header="720" w:footer="720" w:gutter="0"/>
          <w:cols w:space="720"/>
          <w:docGrid w:linePitch="360"/>
        </w:sectPr>
      </w:pPr>
    </w:p>
    <w:p w14:paraId="52BB33D9" w14:textId="7405CBFB" w:rsidR="008C62D4" w:rsidRPr="009A66BD" w:rsidRDefault="008C62D4" w:rsidP="6E44A72E">
      <w:pPr>
        <w:spacing w:after="160" w:line="259" w:lineRule="auto"/>
        <w:ind w:firstLine="0"/>
        <w:rPr>
          <w:rFonts w:asciiTheme="minorHAnsi" w:eastAsia="MS Mincho" w:hAnsiTheme="minorHAnsi" w:cstheme="minorHAnsi"/>
          <w:b/>
          <w:bCs/>
          <w:color w:val="1F497D"/>
          <w:sz w:val="24"/>
          <w:lang w:val="sq-AL"/>
        </w:rPr>
      </w:pPr>
      <w:r w:rsidRPr="009A66BD">
        <w:rPr>
          <w:rFonts w:asciiTheme="minorHAnsi" w:eastAsia="MS Mincho" w:hAnsiTheme="minorHAnsi" w:cstheme="minorHAnsi"/>
          <w:b/>
          <w:bCs/>
          <w:color w:val="1F497D"/>
          <w:sz w:val="24"/>
          <w:lang w:val="sq-AL"/>
        </w:rPr>
        <w:lastRenderedPageBreak/>
        <w:t>KORNIZ</w:t>
      </w:r>
      <w:r w:rsidR="003D30A1" w:rsidRPr="009A66BD">
        <w:rPr>
          <w:rFonts w:asciiTheme="minorHAnsi" w:eastAsia="MS Mincho" w:hAnsiTheme="minorHAnsi" w:cstheme="minorHAnsi"/>
          <w:b/>
          <w:bCs/>
          <w:color w:val="1F497D"/>
          <w:sz w:val="24"/>
          <w:lang w:val="sq-AL"/>
        </w:rPr>
        <w:t xml:space="preserve">A E POLITIKAVE DHE VEPRIMET </w:t>
      </w:r>
      <w:r w:rsidR="00A97721" w:rsidRPr="009A66BD">
        <w:rPr>
          <w:rFonts w:asciiTheme="minorHAnsi" w:eastAsia="MS Mincho" w:hAnsiTheme="minorHAnsi" w:cstheme="minorHAnsi"/>
          <w:b/>
          <w:bCs/>
          <w:color w:val="1F497D"/>
          <w:sz w:val="24"/>
          <w:lang w:val="sq-AL"/>
        </w:rPr>
        <w:t>PËR REFORMA</w:t>
      </w:r>
    </w:p>
    <w:p w14:paraId="65C87446" w14:textId="0BDFEE2A" w:rsidR="00B95117" w:rsidRPr="009A66BD" w:rsidRDefault="00592131" w:rsidP="6E44A72E">
      <w:pPr>
        <w:spacing w:after="160" w:line="259" w:lineRule="auto"/>
        <w:ind w:firstLine="0"/>
        <w:rPr>
          <w:rFonts w:asciiTheme="minorHAnsi" w:eastAsiaTheme="minorEastAsia" w:hAnsiTheme="minorHAnsi" w:cstheme="minorHAnsi"/>
          <w:color w:val="000000" w:themeColor="text1"/>
          <w:sz w:val="22"/>
          <w:szCs w:val="22"/>
          <w:lang w:val="sq-AL"/>
        </w:rPr>
      </w:pPr>
      <w:r w:rsidRPr="009A66BD">
        <w:rPr>
          <w:rFonts w:asciiTheme="minorHAnsi" w:eastAsiaTheme="minorEastAsia" w:hAnsiTheme="minorHAnsi" w:cstheme="minorHAnsi"/>
          <w:color w:val="000000" w:themeColor="text1"/>
          <w:sz w:val="22"/>
          <w:szCs w:val="22"/>
          <w:lang w:val="sq-AL"/>
        </w:rPr>
        <w:t xml:space="preserve">Tabela vijuese e veprimeve për reforma </w:t>
      </w:r>
      <w:r w:rsidR="00A36556">
        <w:rPr>
          <w:rFonts w:asciiTheme="minorHAnsi" w:eastAsiaTheme="minorEastAsia" w:hAnsiTheme="minorHAnsi" w:cstheme="minorHAnsi"/>
          <w:color w:val="000000" w:themeColor="text1"/>
          <w:sz w:val="22"/>
          <w:szCs w:val="22"/>
          <w:lang w:val="sq-AL"/>
        </w:rPr>
        <w:t xml:space="preserve">ofron </w:t>
      </w:r>
      <w:r w:rsidRPr="009A66BD">
        <w:rPr>
          <w:rFonts w:asciiTheme="minorHAnsi" w:eastAsiaTheme="minorEastAsia" w:hAnsiTheme="minorHAnsi" w:cstheme="minorHAnsi"/>
          <w:color w:val="000000" w:themeColor="text1"/>
          <w:sz w:val="22"/>
          <w:szCs w:val="22"/>
          <w:lang w:val="sq-AL"/>
        </w:rPr>
        <w:t xml:space="preserve">një grup të detajuar të veprimeve për reforma që do të zbatohen nga Qeveria e Kosovës * duke përfshirë periudhën e zbatimit, agjencinë udhëheqëse, rezultatet e pritura dhe mbështetjen e donatorëve që do të kërkohet për të arritur objektivat gjithëpërfshirëse të përcaktuara nga Agjenda Rajonale e Reformës së Investimeve (RIRA). </w:t>
      </w:r>
      <w:r w:rsidR="00472FDA" w:rsidRPr="009A66BD">
        <w:rPr>
          <w:rFonts w:asciiTheme="minorHAnsi" w:eastAsiaTheme="minorEastAsia" w:hAnsiTheme="minorHAnsi" w:cstheme="minorHAnsi"/>
          <w:color w:val="000000" w:themeColor="text1"/>
          <w:sz w:val="22"/>
          <w:szCs w:val="22"/>
          <w:lang w:val="sq-AL"/>
        </w:rPr>
        <w:t>Planet e detajuara vjetore të veprimit do të zhvillohen nga agjencitë udhëheqëse për secilin prej veprimeve për reforma</w:t>
      </w:r>
      <w:r w:rsidR="6E44A72E" w:rsidRPr="009A66BD">
        <w:rPr>
          <w:rFonts w:asciiTheme="minorHAnsi" w:eastAsiaTheme="minorEastAsia" w:hAnsiTheme="minorHAnsi" w:cstheme="minorHAnsi"/>
          <w:color w:val="000000" w:themeColor="text1"/>
          <w:sz w:val="22"/>
          <w:szCs w:val="22"/>
          <w:lang w:val="sq-AL"/>
        </w:rPr>
        <w:t xml:space="preserve">. </w:t>
      </w:r>
      <w:r w:rsidR="0078637D" w:rsidRPr="009A66BD">
        <w:rPr>
          <w:rFonts w:asciiTheme="minorHAnsi" w:eastAsiaTheme="minorEastAsia" w:hAnsiTheme="minorHAnsi" w:cstheme="minorHAnsi"/>
          <w:color w:val="000000" w:themeColor="text1"/>
          <w:sz w:val="22"/>
          <w:szCs w:val="22"/>
          <w:lang w:val="sq-AL"/>
        </w:rPr>
        <w:t xml:space="preserve">Tabela e veprimeve për reforma do të shqyrtohet dhe përditësohet sipas nevojës në baza të rregullta nga Qeveria e Kosovës * për të pasqyruar progresin në zbatim dhe për të siguruar </w:t>
      </w:r>
      <w:proofErr w:type="spellStart"/>
      <w:r w:rsidR="00B6349A" w:rsidRPr="009A66BD">
        <w:rPr>
          <w:rFonts w:asciiTheme="minorHAnsi" w:eastAsiaTheme="minorEastAsia" w:hAnsiTheme="minorHAnsi" w:cstheme="minorHAnsi"/>
          <w:color w:val="000000" w:themeColor="text1"/>
          <w:sz w:val="22"/>
          <w:szCs w:val="22"/>
          <w:lang w:val="sq-AL"/>
        </w:rPr>
        <w:t>relevancën</w:t>
      </w:r>
      <w:proofErr w:type="spellEnd"/>
      <w:r w:rsidR="00B6349A" w:rsidRPr="009A66BD">
        <w:rPr>
          <w:rFonts w:asciiTheme="minorHAnsi" w:eastAsiaTheme="minorEastAsia" w:hAnsiTheme="minorHAnsi" w:cstheme="minorHAnsi"/>
          <w:color w:val="000000" w:themeColor="text1"/>
          <w:sz w:val="22"/>
          <w:szCs w:val="22"/>
          <w:lang w:val="sq-AL"/>
        </w:rPr>
        <w:t xml:space="preserve"> e </w:t>
      </w:r>
      <w:r w:rsidR="0078637D" w:rsidRPr="009A66BD">
        <w:rPr>
          <w:rFonts w:asciiTheme="minorHAnsi" w:eastAsiaTheme="minorEastAsia" w:hAnsiTheme="minorHAnsi" w:cstheme="minorHAnsi"/>
          <w:color w:val="000000" w:themeColor="text1"/>
          <w:sz w:val="22"/>
          <w:szCs w:val="22"/>
          <w:lang w:val="sq-AL"/>
        </w:rPr>
        <w:t>vazhd</w:t>
      </w:r>
      <w:r w:rsidR="00B6349A" w:rsidRPr="009A66BD">
        <w:rPr>
          <w:rFonts w:asciiTheme="minorHAnsi" w:eastAsiaTheme="minorEastAsia" w:hAnsiTheme="minorHAnsi" w:cstheme="minorHAnsi"/>
          <w:color w:val="000000" w:themeColor="text1"/>
          <w:sz w:val="22"/>
          <w:szCs w:val="22"/>
          <w:lang w:val="sq-AL"/>
        </w:rPr>
        <w:t>ueshme të</w:t>
      </w:r>
      <w:r w:rsidR="0078637D" w:rsidRPr="009A66BD">
        <w:rPr>
          <w:rFonts w:asciiTheme="minorHAnsi" w:eastAsiaTheme="minorEastAsia" w:hAnsiTheme="minorHAnsi" w:cstheme="minorHAnsi"/>
          <w:color w:val="000000" w:themeColor="text1"/>
          <w:sz w:val="22"/>
          <w:szCs w:val="22"/>
          <w:lang w:val="sq-AL"/>
        </w:rPr>
        <w:t xml:space="preserve"> veprimeve individuale për reforma</w:t>
      </w:r>
      <w:r w:rsidR="6E44A72E" w:rsidRPr="009A66BD">
        <w:rPr>
          <w:rFonts w:asciiTheme="minorHAnsi" w:eastAsiaTheme="minorEastAsia" w:hAnsiTheme="minorHAnsi" w:cstheme="minorHAnsi"/>
          <w:color w:val="000000" w:themeColor="text1"/>
          <w:sz w:val="22"/>
          <w:szCs w:val="22"/>
          <w:lang w:val="sq-AL"/>
        </w:rPr>
        <w:t>.</w:t>
      </w:r>
    </w:p>
    <w:p w14:paraId="460DDA34" w14:textId="6B7DA4C8" w:rsidR="00205372" w:rsidRPr="009A66BD" w:rsidRDefault="00105A4D" w:rsidP="6E44A72E">
      <w:pPr>
        <w:spacing w:after="160" w:line="259" w:lineRule="auto"/>
        <w:ind w:firstLine="0"/>
        <w:rPr>
          <w:rFonts w:ascii="Calibri" w:eastAsiaTheme="minorEastAsia" w:hAnsi="Calibri" w:cs="Calibri"/>
          <w:color w:val="000000" w:themeColor="text1"/>
          <w:sz w:val="22"/>
          <w:szCs w:val="22"/>
          <w:lang w:val="sq-AL"/>
        </w:rPr>
      </w:pPr>
      <w:r w:rsidRPr="009A66BD">
        <w:rPr>
          <w:rFonts w:ascii="Calibri" w:eastAsiaTheme="minorEastAsia" w:hAnsi="Calibri" w:cs="Calibri"/>
          <w:color w:val="000000" w:themeColor="text1"/>
          <w:sz w:val="22"/>
          <w:szCs w:val="22"/>
          <w:lang w:val="sq-AL"/>
        </w:rPr>
        <w:t xml:space="preserve">Tabela e veprimeve për reforma do të </w:t>
      </w:r>
      <w:r w:rsidR="002B0358">
        <w:rPr>
          <w:rFonts w:ascii="Calibri" w:eastAsiaTheme="minorEastAsia" w:hAnsi="Calibri" w:cs="Calibri"/>
          <w:color w:val="000000" w:themeColor="text1"/>
          <w:sz w:val="22"/>
          <w:szCs w:val="22"/>
          <w:lang w:val="sq-AL"/>
        </w:rPr>
        <w:t xml:space="preserve">rishikohet </w:t>
      </w:r>
      <w:r w:rsidRPr="009A66BD">
        <w:rPr>
          <w:rFonts w:ascii="Calibri" w:eastAsiaTheme="minorEastAsia" w:hAnsi="Calibri" w:cs="Calibri"/>
          <w:color w:val="000000" w:themeColor="text1"/>
          <w:sz w:val="22"/>
          <w:szCs w:val="22"/>
          <w:lang w:val="sq-AL"/>
        </w:rPr>
        <w:t xml:space="preserve">dhe përditësohet sipas nevojës në baza bienale nga Qeveria e Kosovës * për të pasqyruar progresin në zbatim dhe për të siguruar </w:t>
      </w:r>
      <w:proofErr w:type="spellStart"/>
      <w:r w:rsidRPr="009A66BD">
        <w:rPr>
          <w:rFonts w:ascii="Calibri" w:eastAsiaTheme="minorEastAsia" w:hAnsi="Calibri" w:cs="Calibri"/>
          <w:color w:val="000000" w:themeColor="text1"/>
          <w:sz w:val="22"/>
          <w:szCs w:val="22"/>
          <w:lang w:val="sq-AL"/>
        </w:rPr>
        <w:t>relevancën</w:t>
      </w:r>
      <w:proofErr w:type="spellEnd"/>
      <w:r w:rsidRPr="009A66BD">
        <w:rPr>
          <w:rFonts w:ascii="Calibri" w:eastAsiaTheme="minorEastAsia" w:hAnsi="Calibri" w:cs="Calibri"/>
          <w:color w:val="000000" w:themeColor="text1"/>
          <w:sz w:val="22"/>
          <w:szCs w:val="22"/>
          <w:lang w:val="sq-AL"/>
        </w:rPr>
        <w:t xml:space="preserve"> e vazhdueshme të veprimeve individuale për reforma, ku versioni aktual i PVRI-së krijon bazën për përditësimet e  ardhshme sipas dhe siç përshkruhet nga secila pik</w:t>
      </w:r>
      <w:r w:rsidR="006822F7">
        <w:rPr>
          <w:rFonts w:ascii="Calibri" w:eastAsiaTheme="minorEastAsia" w:hAnsi="Calibri" w:cs="Calibri"/>
          <w:color w:val="000000" w:themeColor="text1"/>
          <w:sz w:val="22"/>
          <w:szCs w:val="22"/>
          <w:lang w:val="sq-AL"/>
        </w:rPr>
        <w:t>ë</w:t>
      </w:r>
      <w:r w:rsidRPr="009A66BD">
        <w:rPr>
          <w:rFonts w:ascii="Calibri" w:eastAsiaTheme="minorEastAsia" w:hAnsi="Calibri" w:cs="Calibri"/>
          <w:color w:val="000000" w:themeColor="text1"/>
          <w:sz w:val="22"/>
          <w:szCs w:val="22"/>
          <w:lang w:val="sq-AL"/>
        </w:rPr>
        <w:t xml:space="preserve"> vepr</w:t>
      </w:r>
      <w:r w:rsidR="002B0358">
        <w:rPr>
          <w:rFonts w:ascii="Calibri" w:eastAsiaTheme="minorEastAsia" w:hAnsi="Calibri" w:cs="Calibri"/>
          <w:color w:val="000000" w:themeColor="text1"/>
          <w:sz w:val="22"/>
          <w:szCs w:val="22"/>
          <w:lang w:val="sq-AL"/>
        </w:rPr>
        <w:t>imi</w:t>
      </w:r>
      <w:r w:rsidR="00205372" w:rsidRPr="009A66BD">
        <w:rPr>
          <w:rFonts w:ascii="Calibri" w:eastAsiaTheme="minorEastAsia" w:hAnsi="Calibri" w:cs="Calibri"/>
          <w:color w:val="000000" w:themeColor="text1"/>
          <w:sz w:val="22"/>
          <w:szCs w:val="22"/>
          <w:lang w:val="sq-AL"/>
        </w:rPr>
        <w:t xml:space="preserve">. </w:t>
      </w:r>
      <w:r w:rsidR="001260E8" w:rsidRPr="009A66BD">
        <w:rPr>
          <w:rFonts w:ascii="Calibri" w:eastAsiaTheme="minorEastAsia" w:hAnsi="Calibri" w:cs="Calibri"/>
          <w:color w:val="000000" w:themeColor="text1"/>
          <w:sz w:val="22"/>
          <w:szCs w:val="22"/>
          <w:lang w:val="sq-AL"/>
        </w:rPr>
        <w:t>Përditësimet do të pasqyrojnë në mënyrë konkrete specifikimin e veprimeve të mëtejshme për reforma që Qeveria</w:t>
      </w:r>
      <w:r w:rsidR="002B0358">
        <w:rPr>
          <w:rFonts w:ascii="Calibri" w:eastAsiaTheme="minorEastAsia" w:hAnsi="Calibri" w:cs="Calibri"/>
          <w:color w:val="000000" w:themeColor="text1"/>
          <w:sz w:val="22"/>
          <w:szCs w:val="22"/>
          <w:lang w:val="sq-AL"/>
        </w:rPr>
        <w:t xml:space="preserve"> merr p</w:t>
      </w:r>
      <w:r w:rsidR="006822F7">
        <w:rPr>
          <w:rFonts w:ascii="Calibri" w:eastAsiaTheme="minorEastAsia" w:hAnsi="Calibri" w:cs="Calibri"/>
          <w:color w:val="000000" w:themeColor="text1"/>
          <w:sz w:val="22"/>
          <w:szCs w:val="22"/>
          <w:lang w:val="sq-AL"/>
        </w:rPr>
        <w:t>ë</w:t>
      </w:r>
      <w:r w:rsidR="002B0358">
        <w:rPr>
          <w:rFonts w:ascii="Calibri" w:eastAsiaTheme="minorEastAsia" w:hAnsi="Calibri" w:cs="Calibri"/>
          <w:color w:val="000000" w:themeColor="text1"/>
          <w:sz w:val="22"/>
          <w:szCs w:val="22"/>
          <w:lang w:val="sq-AL"/>
        </w:rPr>
        <w:t>rsip</w:t>
      </w:r>
      <w:r w:rsidR="006822F7">
        <w:rPr>
          <w:rFonts w:ascii="Calibri" w:eastAsiaTheme="minorEastAsia" w:hAnsi="Calibri" w:cs="Calibri"/>
          <w:color w:val="000000" w:themeColor="text1"/>
          <w:sz w:val="22"/>
          <w:szCs w:val="22"/>
          <w:lang w:val="sq-AL"/>
        </w:rPr>
        <w:t>ë</w:t>
      </w:r>
      <w:r w:rsidR="002B0358">
        <w:rPr>
          <w:rFonts w:ascii="Calibri" w:eastAsiaTheme="minorEastAsia" w:hAnsi="Calibri" w:cs="Calibri"/>
          <w:color w:val="000000" w:themeColor="text1"/>
          <w:sz w:val="22"/>
          <w:szCs w:val="22"/>
          <w:lang w:val="sq-AL"/>
        </w:rPr>
        <w:t>r t</w:t>
      </w:r>
      <w:r w:rsidR="006822F7">
        <w:rPr>
          <w:rFonts w:ascii="Calibri" w:eastAsiaTheme="minorEastAsia" w:hAnsi="Calibri" w:cs="Calibri"/>
          <w:color w:val="000000" w:themeColor="text1"/>
          <w:sz w:val="22"/>
          <w:szCs w:val="22"/>
          <w:lang w:val="sq-AL"/>
        </w:rPr>
        <w:t>ë</w:t>
      </w:r>
      <w:r w:rsidR="002B0358">
        <w:rPr>
          <w:rFonts w:ascii="Calibri" w:eastAsiaTheme="minorEastAsia" w:hAnsi="Calibri" w:cs="Calibri"/>
          <w:color w:val="000000" w:themeColor="text1"/>
          <w:sz w:val="22"/>
          <w:szCs w:val="22"/>
          <w:lang w:val="sq-AL"/>
        </w:rPr>
        <w:t xml:space="preserve"> zbatoj</w:t>
      </w:r>
      <w:r w:rsidR="006822F7">
        <w:rPr>
          <w:rFonts w:ascii="Calibri" w:eastAsiaTheme="minorEastAsia" w:hAnsi="Calibri" w:cs="Calibri"/>
          <w:color w:val="000000" w:themeColor="text1"/>
          <w:sz w:val="22"/>
          <w:szCs w:val="22"/>
          <w:lang w:val="sq-AL"/>
        </w:rPr>
        <w:t>ë</w:t>
      </w:r>
      <w:r w:rsidR="002B0358">
        <w:rPr>
          <w:rFonts w:ascii="Calibri" w:eastAsiaTheme="minorEastAsia" w:hAnsi="Calibri" w:cs="Calibri"/>
          <w:color w:val="000000" w:themeColor="text1"/>
          <w:sz w:val="22"/>
          <w:szCs w:val="22"/>
          <w:lang w:val="sq-AL"/>
        </w:rPr>
        <w:t xml:space="preserve"> </w:t>
      </w:r>
      <w:r w:rsidR="001260E8" w:rsidRPr="009A66BD">
        <w:rPr>
          <w:rFonts w:ascii="Calibri" w:eastAsiaTheme="minorEastAsia" w:hAnsi="Calibri" w:cs="Calibri"/>
          <w:color w:val="000000" w:themeColor="text1"/>
          <w:sz w:val="22"/>
          <w:szCs w:val="22"/>
          <w:lang w:val="sq-AL"/>
        </w:rPr>
        <w:t xml:space="preserve">pas procesit të </w:t>
      </w:r>
      <w:r w:rsidR="009A66BD" w:rsidRPr="009A66BD">
        <w:rPr>
          <w:rFonts w:ascii="Calibri" w:eastAsiaTheme="minorEastAsia" w:hAnsi="Calibri" w:cs="Calibri"/>
          <w:color w:val="000000" w:themeColor="text1"/>
          <w:sz w:val="22"/>
          <w:szCs w:val="22"/>
          <w:lang w:val="sq-AL"/>
        </w:rPr>
        <w:t>analitikes</w:t>
      </w:r>
      <w:r w:rsidR="001260E8" w:rsidRPr="009A66BD">
        <w:rPr>
          <w:rFonts w:ascii="Calibri" w:eastAsiaTheme="minorEastAsia" w:hAnsi="Calibri" w:cs="Calibri"/>
          <w:color w:val="000000" w:themeColor="text1"/>
          <w:sz w:val="22"/>
          <w:szCs w:val="22"/>
          <w:lang w:val="sq-AL"/>
        </w:rPr>
        <w:t xml:space="preserve"> dhe diagnostikimit të përfunduar si pjesë e këtij plani të veprimit. Përditësimet do t</w:t>
      </w:r>
      <w:r w:rsidR="006822F7">
        <w:rPr>
          <w:rFonts w:ascii="Calibri" w:eastAsiaTheme="minorEastAsia" w:hAnsi="Calibri" w:cs="Calibri"/>
          <w:color w:val="000000" w:themeColor="text1"/>
          <w:sz w:val="22"/>
          <w:szCs w:val="22"/>
          <w:lang w:val="sq-AL"/>
        </w:rPr>
        <w:t>ë</w:t>
      </w:r>
      <w:r w:rsidR="002B0358">
        <w:rPr>
          <w:rFonts w:ascii="Calibri" w:eastAsiaTheme="minorEastAsia" w:hAnsi="Calibri" w:cs="Calibri"/>
          <w:color w:val="000000" w:themeColor="text1"/>
          <w:sz w:val="22"/>
          <w:szCs w:val="22"/>
          <w:lang w:val="sq-AL"/>
        </w:rPr>
        <w:t xml:space="preserve"> </w:t>
      </w:r>
      <w:r w:rsidR="001260E8" w:rsidRPr="009A66BD">
        <w:rPr>
          <w:rFonts w:ascii="Calibri" w:eastAsiaTheme="minorEastAsia" w:hAnsi="Calibri" w:cs="Calibri"/>
          <w:color w:val="000000" w:themeColor="text1"/>
          <w:sz w:val="22"/>
          <w:szCs w:val="22"/>
          <w:lang w:val="sq-AL"/>
        </w:rPr>
        <w:t xml:space="preserve">njoftohen </w:t>
      </w:r>
      <w:r w:rsidR="002B0358">
        <w:rPr>
          <w:rFonts w:ascii="Calibri" w:eastAsiaTheme="minorEastAsia" w:hAnsi="Calibri" w:cs="Calibri"/>
          <w:color w:val="000000" w:themeColor="text1"/>
          <w:sz w:val="22"/>
          <w:szCs w:val="22"/>
          <w:lang w:val="sq-AL"/>
        </w:rPr>
        <w:t>n</w:t>
      </w:r>
      <w:r w:rsidR="006822F7">
        <w:rPr>
          <w:rFonts w:ascii="Calibri" w:eastAsiaTheme="minorEastAsia" w:hAnsi="Calibri" w:cs="Calibri"/>
          <w:color w:val="000000" w:themeColor="text1"/>
          <w:sz w:val="22"/>
          <w:szCs w:val="22"/>
          <w:lang w:val="sq-AL"/>
        </w:rPr>
        <w:t>ë</w:t>
      </w:r>
      <w:r w:rsidR="002B0358">
        <w:rPr>
          <w:rFonts w:ascii="Calibri" w:eastAsiaTheme="minorEastAsia" w:hAnsi="Calibri" w:cs="Calibri"/>
          <w:color w:val="000000" w:themeColor="text1"/>
          <w:sz w:val="22"/>
          <w:szCs w:val="22"/>
          <w:lang w:val="sq-AL"/>
        </w:rPr>
        <w:t xml:space="preserve"> </w:t>
      </w:r>
      <w:r w:rsidR="001260E8" w:rsidRPr="009A66BD">
        <w:rPr>
          <w:rFonts w:ascii="Calibri" w:eastAsiaTheme="minorEastAsia" w:hAnsi="Calibri" w:cs="Calibri"/>
          <w:color w:val="000000" w:themeColor="text1"/>
          <w:sz w:val="22"/>
          <w:szCs w:val="22"/>
          <w:lang w:val="sq-AL"/>
        </w:rPr>
        <w:t>dialogu</w:t>
      </w:r>
      <w:r w:rsidR="002B0358">
        <w:rPr>
          <w:rFonts w:ascii="Calibri" w:eastAsiaTheme="minorEastAsia" w:hAnsi="Calibri" w:cs="Calibri"/>
          <w:color w:val="000000" w:themeColor="text1"/>
          <w:sz w:val="22"/>
          <w:szCs w:val="22"/>
          <w:lang w:val="sq-AL"/>
        </w:rPr>
        <w:t>n</w:t>
      </w:r>
      <w:r w:rsidR="001260E8" w:rsidRPr="009A66BD">
        <w:rPr>
          <w:rFonts w:ascii="Calibri" w:eastAsiaTheme="minorEastAsia" w:hAnsi="Calibri" w:cs="Calibri"/>
          <w:color w:val="000000" w:themeColor="text1"/>
          <w:sz w:val="22"/>
          <w:szCs w:val="22"/>
          <w:lang w:val="sq-AL"/>
        </w:rPr>
        <w:t xml:space="preserve"> rajonal për politikat e investimeve në kuadër të Grupit Punues të Përbashkët të SEEIC-CEFTA mbi Investimet</w:t>
      </w:r>
      <w:r w:rsidR="00205372" w:rsidRPr="009A66BD">
        <w:rPr>
          <w:rFonts w:ascii="Calibri" w:eastAsiaTheme="minorEastAsia" w:hAnsi="Calibri" w:cs="Calibri"/>
          <w:color w:val="000000" w:themeColor="text1"/>
          <w:sz w:val="22"/>
          <w:szCs w:val="22"/>
          <w:lang w:val="sq-AL"/>
        </w:rPr>
        <w:t>.</w:t>
      </w:r>
    </w:p>
    <w:p w14:paraId="56217EDD" w14:textId="212D7B7A" w:rsidR="00B95117" w:rsidRPr="009A66BD" w:rsidRDefault="00D2197C" w:rsidP="13A9C389">
      <w:pPr>
        <w:spacing w:after="160" w:line="259" w:lineRule="auto"/>
        <w:ind w:firstLine="0"/>
        <w:rPr>
          <w:rFonts w:asciiTheme="minorHAnsi" w:eastAsiaTheme="minorEastAsia" w:hAnsiTheme="minorHAnsi" w:cstheme="minorHAnsi"/>
          <w:color w:val="000000" w:themeColor="text1"/>
          <w:sz w:val="22"/>
          <w:szCs w:val="22"/>
          <w:lang w:val="sq-AL"/>
        </w:rPr>
      </w:pPr>
      <w:r w:rsidRPr="009A66BD">
        <w:rPr>
          <w:rFonts w:asciiTheme="minorHAnsi" w:eastAsiaTheme="minorEastAsia" w:hAnsiTheme="minorHAnsi" w:cstheme="minorHAnsi"/>
          <w:color w:val="000000" w:themeColor="text1"/>
          <w:sz w:val="22"/>
          <w:szCs w:val="22"/>
          <w:lang w:val="sq-AL"/>
        </w:rPr>
        <w:t>Veprimet e qeverisë janë të strukturuara përgjatë</w:t>
      </w:r>
      <w:r w:rsidR="009C411E" w:rsidRPr="009A66BD">
        <w:rPr>
          <w:rFonts w:asciiTheme="minorHAnsi" w:eastAsiaTheme="minorEastAsia" w:hAnsiTheme="minorHAnsi" w:cstheme="minorHAnsi"/>
          <w:color w:val="000000" w:themeColor="text1"/>
          <w:sz w:val="22"/>
          <w:szCs w:val="22"/>
          <w:lang w:val="sq-AL"/>
        </w:rPr>
        <w:t xml:space="preserve"> </w:t>
      </w:r>
      <w:r w:rsidR="00DC7873">
        <w:rPr>
          <w:rFonts w:asciiTheme="minorHAnsi" w:eastAsiaTheme="minorEastAsia" w:hAnsiTheme="minorHAnsi" w:cstheme="minorHAnsi"/>
          <w:color w:val="000000" w:themeColor="text1"/>
          <w:sz w:val="22"/>
          <w:szCs w:val="22"/>
          <w:lang w:val="sq-AL"/>
        </w:rPr>
        <w:t xml:space="preserve">fushave </w:t>
      </w:r>
      <w:r w:rsidRPr="009A66BD">
        <w:rPr>
          <w:rFonts w:asciiTheme="minorHAnsi" w:eastAsiaTheme="minorEastAsia" w:hAnsiTheme="minorHAnsi" w:cstheme="minorHAnsi"/>
          <w:color w:val="000000" w:themeColor="text1"/>
          <w:sz w:val="22"/>
          <w:szCs w:val="22"/>
          <w:lang w:val="sq-AL"/>
        </w:rPr>
        <w:t xml:space="preserve">të politikave dhe temave </w:t>
      </w:r>
      <w:r w:rsidR="00DC7873">
        <w:rPr>
          <w:rFonts w:asciiTheme="minorHAnsi" w:eastAsiaTheme="minorEastAsia" w:hAnsiTheme="minorHAnsi" w:cstheme="minorHAnsi"/>
          <w:color w:val="000000" w:themeColor="text1"/>
          <w:sz w:val="22"/>
          <w:szCs w:val="22"/>
          <w:lang w:val="sq-AL"/>
        </w:rPr>
        <w:t>t</w:t>
      </w:r>
      <w:r w:rsidR="006822F7">
        <w:rPr>
          <w:rFonts w:asciiTheme="minorHAnsi" w:eastAsiaTheme="minorEastAsia" w:hAnsiTheme="minorHAnsi" w:cstheme="minorHAnsi"/>
          <w:color w:val="000000" w:themeColor="text1"/>
          <w:sz w:val="22"/>
          <w:szCs w:val="22"/>
          <w:lang w:val="sq-AL"/>
        </w:rPr>
        <w:t>ë</w:t>
      </w:r>
      <w:r w:rsidR="00DC7873">
        <w:rPr>
          <w:rFonts w:asciiTheme="minorHAnsi" w:eastAsiaTheme="minorEastAsia" w:hAnsiTheme="minorHAnsi" w:cstheme="minorHAnsi"/>
          <w:color w:val="000000" w:themeColor="text1"/>
          <w:sz w:val="22"/>
          <w:szCs w:val="22"/>
          <w:lang w:val="sq-AL"/>
        </w:rPr>
        <w:t xml:space="preserve"> </w:t>
      </w:r>
      <w:r w:rsidRPr="009A66BD">
        <w:rPr>
          <w:rFonts w:asciiTheme="minorHAnsi" w:eastAsiaTheme="minorEastAsia" w:hAnsiTheme="minorHAnsi" w:cstheme="minorHAnsi"/>
          <w:color w:val="000000" w:themeColor="text1"/>
          <w:sz w:val="22"/>
          <w:szCs w:val="22"/>
          <w:lang w:val="sq-AL"/>
        </w:rPr>
        <w:t>reforma</w:t>
      </w:r>
      <w:r w:rsidR="00DC7873">
        <w:rPr>
          <w:rFonts w:asciiTheme="minorHAnsi" w:eastAsiaTheme="minorEastAsia" w:hAnsiTheme="minorHAnsi" w:cstheme="minorHAnsi"/>
          <w:color w:val="000000" w:themeColor="text1"/>
          <w:sz w:val="22"/>
          <w:szCs w:val="22"/>
          <w:lang w:val="sq-AL"/>
        </w:rPr>
        <w:t>ve</w:t>
      </w:r>
      <w:r w:rsidRPr="009A66BD">
        <w:rPr>
          <w:rFonts w:asciiTheme="minorHAnsi" w:eastAsiaTheme="minorEastAsia" w:hAnsiTheme="minorHAnsi" w:cstheme="minorHAnsi"/>
          <w:color w:val="000000" w:themeColor="text1"/>
          <w:sz w:val="22"/>
          <w:szCs w:val="22"/>
          <w:lang w:val="sq-AL"/>
        </w:rPr>
        <w:t xml:space="preserve"> të përcaktuara në Agjendën Rajonale për Reformën e Investimeve (RIRA), përkatësisht: (i) </w:t>
      </w:r>
      <w:r w:rsidR="00950D03" w:rsidRPr="009A66BD">
        <w:rPr>
          <w:rFonts w:asciiTheme="minorHAnsi" w:eastAsiaTheme="minorEastAsia" w:hAnsiTheme="minorHAnsi" w:cstheme="minorHAnsi"/>
          <w:color w:val="000000" w:themeColor="text1"/>
          <w:sz w:val="22"/>
          <w:szCs w:val="22"/>
          <w:lang w:val="sq-AL"/>
        </w:rPr>
        <w:t>H</w:t>
      </w:r>
      <w:r w:rsidR="001D4049" w:rsidRPr="009A66BD">
        <w:rPr>
          <w:rFonts w:asciiTheme="minorHAnsi" w:eastAsiaTheme="minorEastAsia" w:hAnsiTheme="minorHAnsi" w:cstheme="minorHAnsi"/>
          <w:color w:val="000000" w:themeColor="text1"/>
          <w:sz w:val="22"/>
          <w:szCs w:val="22"/>
          <w:lang w:val="sq-AL"/>
        </w:rPr>
        <w:t>yrja</w:t>
      </w:r>
      <w:r w:rsidRPr="009A66BD">
        <w:rPr>
          <w:rFonts w:asciiTheme="minorHAnsi" w:eastAsiaTheme="minorEastAsia" w:hAnsiTheme="minorHAnsi" w:cstheme="minorHAnsi"/>
          <w:color w:val="000000" w:themeColor="text1"/>
          <w:sz w:val="22"/>
          <w:szCs w:val="22"/>
          <w:lang w:val="sq-AL"/>
        </w:rPr>
        <w:t xml:space="preserve"> dhe Krijimi i Investimeve, (</w:t>
      </w:r>
      <w:proofErr w:type="spellStart"/>
      <w:r w:rsidRPr="009A66BD">
        <w:rPr>
          <w:rFonts w:asciiTheme="minorHAnsi" w:eastAsiaTheme="minorEastAsia" w:hAnsiTheme="minorHAnsi" w:cstheme="minorHAnsi"/>
          <w:color w:val="000000" w:themeColor="text1"/>
          <w:sz w:val="22"/>
          <w:szCs w:val="22"/>
          <w:lang w:val="sq-AL"/>
        </w:rPr>
        <w:t>ii</w:t>
      </w:r>
      <w:proofErr w:type="spellEnd"/>
      <w:r w:rsidRPr="009A66BD">
        <w:rPr>
          <w:rFonts w:asciiTheme="minorHAnsi" w:eastAsiaTheme="minorEastAsia" w:hAnsiTheme="minorHAnsi" w:cstheme="minorHAnsi"/>
          <w:color w:val="000000" w:themeColor="text1"/>
          <w:sz w:val="22"/>
          <w:szCs w:val="22"/>
          <w:lang w:val="sq-AL"/>
        </w:rPr>
        <w:t>) Mbrojtja dhe Mbajtja e Investimeve, dhe (</w:t>
      </w:r>
      <w:proofErr w:type="spellStart"/>
      <w:r w:rsidRPr="009A66BD">
        <w:rPr>
          <w:rFonts w:asciiTheme="minorHAnsi" w:eastAsiaTheme="minorEastAsia" w:hAnsiTheme="minorHAnsi" w:cstheme="minorHAnsi"/>
          <w:color w:val="000000" w:themeColor="text1"/>
          <w:sz w:val="22"/>
          <w:szCs w:val="22"/>
          <w:lang w:val="sq-AL"/>
        </w:rPr>
        <w:t>iii</w:t>
      </w:r>
      <w:proofErr w:type="spellEnd"/>
      <w:r w:rsidRPr="009A66BD">
        <w:rPr>
          <w:rFonts w:asciiTheme="minorHAnsi" w:eastAsiaTheme="minorEastAsia" w:hAnsiTheme="minorHAnsi" w:cstheme="minorHAnsi"/>
          <w:color w:val="000000" w:themeColor="text1"/>
          <w:sz w:val="22"/>
          <w:szCs w:val="22"/>
          <w:lang w:val="sq-AL"/>
        </w:rPr>
        <w:t xml:space="preserve">) </w:t>
      </w:r>
      <w:r w:rsidR="00DC7873">
        <w:rPr>
          <w:rFonts w:asciiTheme="minorHAnsi" w:eastAsiaTheme="minorEastAsia" w:hAnsiTheme="minorHAnsi" w:cstheme="minorHAnsi"/>
          <w:color w:val="000000" w:themeColor="text1"/>
          <w:sz w:val="22"/>
          <w:szCs w:val="22"/>
          <w:lang w:val="sq-AL"/>
        </w:rPr>
        <w:t>T</w:t>
      </w:r>
      <w:r w:rsidR="006822F7">
        <w:rPr>
          <w:rFonts w:asciiTheme="minorHAnsi" w:eastAsiaTheme="minorEastAsia" w:hAnsiTheme="minorHAnsi" w:cstheme="minorHAnsi"/>
          <w:color w:val="000000" w:themeColor="text1"/>
          <w:sz w:val="22"/>
          <w:szCs w:val="22"/>
          <w:lang w:val="sq-AL"/>
        </w:rPr>
        <w:t>ë</w:t>
      </w:r>
      <w:r w:rsidR="00DC7873">
        <w:rPr>
          <w:rFonts w:asciiTheme="minorHAnsi" w:eastAsiaTheme="minorEastAsia" w:hAnsiTheme="minorHAnsi" w:cstheme="minorHAnsi"/>
          <w:color w:val="000000" w:themeColor="text1"/>
          <w:sz w:val="22"/>
          <w:szCs w:val="22"/>
          <w:lang w:val="sq-AL"/>
        </w:rPr>
        <w:t xml:space="preserve">rheqja </w:t>
      </w:r>
      <w:r w:rsidRPr="009A66BD">
        <w:rPr>
          <w:rFonts w:asciiTheme="minorHAnsi" w:eastAsiaTheme="minorEastAsia" w:hAnsiTheme="minorHAnsi" w:cstheme="minorHAnsi"/>
          <w:color w:val="000000" w:themeColor="text1"/>
          <w:sz w:val="22"/>
          <w:szCs w:val="22"/>
          <w:lang w:val="sq-AL"/>
        </w:rPr>
        <w:t xml:space="preserve">dhe Promovimi i Investimeve. </w:t>
      </w:r>
      <w:proofErr w:type="spellStart"/>
      <w:r w:rsidR="00DC7873">
        <w:rPr>
          <w:rFonts w:asciiTheme="minorHAnsi" w:eastAsiaTheme="minorEastAsia" w:hAnsiTheme="minorHAnsi" w:cstheme="minorHAnsi"/>
          <w:color w:val="000000" w:themeColor="text1"/>
          <w:sz w:val="22"/>
          <w:szCs w:val="22"/>
          <w:lang w:val="sq-AL"/>
        </w:rPr>
        <w:t>A</w:t>
      </w:r>
      <w:r w:rsidRPr="009A66BD">
        <w:rPr>
          <w:rFonts w:asciiTheme="minorHAnsi" w:eastAsiaTheme="minorEastAsia" w:hAnsiTheme="minorHAnsi" w:cstheme="minorHAnsi"/>
          <w:color w:val="000000" w:themeColor="text1"/>
          <w:sz w:val="22"/>
          <w:szCs w:val="22"/>
          <w:lang w:val="sq-AL"/>
        </w:rPr>
        <w:t>utputet</w:t>
      </w:r>
      <w:proofErr w:type="spellEnd"/>
      <w:r w:rsidRPr="009A66BD">
        <w:rPr>
          <w:rFonts w:asciiTheme="minorHAnsi" w:eastAsiaTheme="minorEastAsia" w:hAnsiTheme="minorHAnsi" w:cstheme="minorHAnsi"/>
          <w:color w:val="000000" w:themeColor="text1"/>
          <w:sz w:val="22"/>
          <w:szCs w:val="22"/>
          <w:lang w:val="sq-AL"/>
        </w:rPr>
        <w:t xml:space="preserve"> paraqesin rezultate konkrete të veprimeve specifike të qeverisë</w:t>
      </w:r>
      <w:r w:rsidR="13A9C389" w:rsidRPr="009A66BD">
        <w:rPr>
          <w:rFonts w:asciiTheme="minorHAnsi" w:eastAsiaTheme="minorEastAsia" w:hAnsiTheme="minorHAnsi" w:cstheme="minorHAnsi"/>
          <w:color w:val="000000" w:themeColor="text1"/>
          <w:sz w:val="22"/>
          <w:szCs w:val="22"/>
          <w:lang w:val="sq-AL"/>
        </w:rPr>
        <w:t xml:space="preserve">. </w:t>
      </w:r>
    </w:p>
    <w:p w14:paraId="50922826" w14:textId="64E4A904" w:rsidR="001B1346" w:rsidRDefault="007B6E29" w:rsidP="007B6E29">
      <w:pPr>
        <w:tabs>
          <w:tab w:val="left" w:pos="5626"/>
        </w:tabs>
        <w:spacing w:after="160" w:line="259" w:lineRule="auto"/>
        <w:ind w:firstLine="0"/>
        <w:jc w:val="left"/>
        <w:rPr>
          <w:rFonts w:asciiTheme="minorHAnsi" w:hAnsiTheme="minorHAnsi" w:cstheme="minorHAnsi"/>
          <w:sz w:val="22"/>
          <w:szCs w:val="22"/>
          <w:lang w:val="sq-AL"/>
        </w:rPr>
      </w:pPr>
      <w:r w:rsidRPr="009A66BD">
        <w:rPr>
          <w:rFonts w:asciiTheme="minorHAnsi" w:hAnsiTheme="minorHAnsi" w:cstheme="minorHAnsi"/>
          <w:sz w:val="22"/>
          <w:szCs w:val="22"/>
          <w:lang w:val="sq-AL"/>
        </w:rPr>
        <w:tab/>
      </w:r>
    </w:p>
    <w:p w14:paraId="48C7324B"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1CE1516C"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0AFD5E79"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351E1150"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5D8AFD3B"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3821B21A"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7FBA57F9" w14:textId="77777777" w:rsidR="00867998"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2ACDE511" w14:textId="77777777" w:rsidR="00867998" w:rsidRPr="009A66BD" w:rsidRDefault="00867998" w:rsidP="007B6E29">
      <w:pPr>
        <w:tabs>
          <w:tab w:val="left" w:pos="5626"/>
        </w:tabs>
        <w:spacing w:after="160" w:line="259" w:lineRule="auto"/>
        <w:ind w:firstLine="0"/>
        <w:jc w:val="left"/>
        <w:rPr>
          <w:rFonts w:asciiTheme="minorHAnsi" w:hAnsiTheme="minorHAnsi" w:cstheme="minorHAnsi"/>
          <w:sz w:val="22"/>
          <w:szCs w:val="22"/>
          <w:lang w:val="sq-AL"/>
        </w:rPr>
      </w:pPr>
    </w:p>
    <w:p w14:paraId="510117B8" w14:textId="440D089C" w:rsidR="00FF4629" w:rsidRPr="009A66BD" w:rsidRDefault="00DC7873" w:rsidP="008A2CBF">
      <w:pPr>
        <w:spacing w:after="160" w:line="259" w:lineRule="auto"/>
        <w:ind w:firstLine="0"/>
        <w:rPr>
          <w:rFonts w:asciiTheme="minorHAnsi" w:hAnsiTheme="minorHAnsi" w:cstheme="minorHAnsi"/>
          <w:sz w:val="24"/>
          <w:szCs w:val="22"/>
          <w:lang w:val="sq-AL"/>
        </w:rPr>
      </w:pPr>
      <w:r>
        <w:rPr>
          <w:rFonts w:asciiTheme="minorHAnsi" w:eastAsiaTheme="minorEastAsia" w:hAnsiTheme="minorHAnsi" w:cstheme="minorHAnsi"/>
          <w:b/>
          <w:bCs/>
          <w:sz w:val="24"/>
          <w:szCs w:val="22"/>
          <w:lang w:val="sq-AL"/>
        </w:rPr>
        <w:lastRenderedPageBreak/>
        <w:t xml:space="preserve">Fusha </w:t>
      </w:r>
      <w:r w:rsidR="009C411E" w:rsidRPr="009A66BD">
        <w:rPr>
          <w:rFonts w:asciiTheme="minorHAnsi" w:eastAsiaTheme="minorEastAsia" w:hAnsiTheme="minorHAnsi" w:cstheme="minorHAnsi"/>
          <w:b/>
          <w:bCs/>
          <w:sz w:val="24"/>
          <w:szCs w:val="22"/>
          <w:lang w:val="sq-AL"/>
        </w:rPr>
        <w:t xml:space="preserve">e Politikës I. </w:t>
      </w:r>
      <w:r w:rsidR="00BF7AC5" w:rsidRPr="009A66BD">
        <w:rPr>
          <w:rFonts w:asciiTheme="minorHAnsi" w:eastAsiaTheme="minorEastAsia" w:hAnsiTheme="minorHAnsi" w:cstheme="minorHAnsi"/>
          <w:b/>
          <w:bCs/>
          <w:sz w:val="24"/>
          <w:szCs w:val="22"/>
          <w:lang w:val="sq-AL"/>
        </w:rPr>
        <w:t>Hyrja</w:t>
      </w:r>
      <w:r w:rsidR="009C411E" w:rsidRPr="009A66BD">
        <w:rPr>
          <w:rFonts w:asciiTheme="minorHAnsi" w:eastAsiaTheme="minorEastAsia" w:hAnsiTheme="minorHAnsi" w:cstheme="minorHAnsi"/>
          <w:b/>
          <w:bCs/>
          <w:sz w:val="24"/>
          <w:szCs w:val="22"/>
          <w:lang w:val="sq-AL"/>
        </w:rPr>
        <w:t xml:space="preserve"> dhe Krijimi i Investimeve</w:t>
      </w:r>
    </w:p>
    <w:tbl>
      <w:tblPr>
        <w:tblStyle w:val="GridTable5Dark-Accent11"/>
        <w:tblW w:w="14845" w:type="dxa"/>
        <w:tblLayout w:type="fixed"/>
        <w:tblCellMar>
          <w:top w:w="115" w:type="dxa"/>
          <w:left w:w="115" w:type="dxa"/>
          <w:bottom w:w="115" w:type="dxa"/>
          <w:right w:w="115" w:type="dxa"/>
        </w:tblCellMar>
        <w:tblLook w:val="0420" w:firstRow="1" w:lastRow="0" w:firstColumn="0" w:lastColumn="0" w:noHBand="0" w:noVBand="1"/>
      </w:tblPr>
      <w:tblGrid>
        <w:gridCol w:w="2335"/>
        <w:gridCol w:w="2610"/>
        <w:gridCol w:w="900"/>
        <w:gridCol w:w="1260"/>
        <w:gridCol w:w="1980"/>
        <w:gridCol w:w="1800"/>
        <w:gridCol w:w="3960"/>
      </w:tblGrid>
      <w:tr w:rsidR="00D43D3C" w:rsidRPr="009A66BD" w14:paraId="05A5B0CF" w14:textId="050E27BB" w:rsidTr="00E95ADD">
        <w:trPr>
          <w:cnfStyle w:val="100000000000" w:firstRow="1" w:lastRow="0" w:firstColumn="0" w:lastColumn="0" w:oddVBand="0" w:evenVBand="0" w:oddHBand="0" w:evenHBand="0" w:firstRowFirstColumn="0" w:firstRowLastColumn="0" w:lastRowFirstColumn="0" w:lastRowLastColumn="0"/>
          <w:trHeight w:val="720"/>
        </w:trPr>
        <w:tc>
          <w:tcPr>
            <w:tcW w:w="2335" w:type="dxa"/>
            <w:vAlign w:val="center"/>
          </w:tcPr>
          <w:p w14:paraId="169AD05E" w14:textId="1BFD15DF" w:rsidR="00D43D3C" w:rsidRPr="009A66BD" w:rsidRDefault="00981AEA" w:rsidP="00D43D3C">
            <w:pPr>
              <w:spacing w:line="240" w:lineRule="auto"/>
              <w:ind w:firstLine="0"/>
              <w:jc w:val="center"/>
              <w:rPr>
                <w:rFonts w:asciiTheme="minorHAnsi" w:eastAsiaTheme="minorEastAsia" w:hAnsiTheme="minorHAnsi" w:cstheme="minorHAnsi"/>
                <w:szCs w:val="20"/>
                <w:lang w:val="sq-AL"/>
              </w:rPr>
            </w:pPr>
            <w:bookmarkStart w:id="4" w:name="_Hlk524524299"/>
            <w:bookmarkStart w:id="5" w:name="_Hlk524355253"/>
            <w:r w:rsidRPr="009A66BD">
              <w:rPr>
                <w:rFonts w:asciiTheme="minorHAnsi" w:eastAsiaTheme="minorEastAsia" w:hAnsiTheme="minorHAnsi" w:cstheme="majorBidi"/>
                <w:szCs w:val="20"/>
                <w:lang w:val="sq-AL"/>
              </w:rPr>
              <w:t>Tema e Reformës  / Angazhimi i RIRA-së</w:t>
            </w:r>
          </w:p>
        </w:tc>
        <w:tc>
          <w:tcPr>
            <w:tcW w:w="2610" w:type="dxa"/>
            <w:vAlign w:val="center"/>
          </w:tcPr>
          <w:p w14:paraId="4C38604B" w14:textId="462BBDF5" w:rsidR="00D43D3C" w:rsidRPr="009A66BD" w:rsidRDefault="00981AEA" w:rsidP="72A5C518">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Veprimet e PVRI-së</w:t>
            </w:r>
          </w:p>
        </w:tc>
        <w:tc>
          <w:tcPr>
            <w:tcW w:w="900" w:type="dxa"/>
            <w:vAlign w:val="center"/>
          </w:tcPr>
          <w:p w14:paraId="29D2F54A" w14:textId="09B4FFB1" w:rsidR="00D43D3C" w:rsidRPr="009A66BD" w:rsidRDefault="00981AEA" w:rsidP="72A5C518">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Afati kohor</w:t>
            </w:r>
          </w:p>
        </w:tc>
        <w:tc>
          <w:tcPr>
            <w:tcW w:w="1260" w:type="dxa"/>
            <w:vAlign w:val="center"/>
          </w:tcPr>
          <w:p w14:paraId="1D18DBC5" w14:textId="35CE600E" w:rsidR="00D43D3C" w:rsidRPr="009A66BD" w:rsidRDefault="00981AEA" w:rsidP="72A5C518">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Agjencia udhëheqëse</w:t>
            </w:r>
          </w:p>
        </w:tc>
        <w:tc>
          <w:tcPr>
            <w:tcW w:w="1980" w:type="dxa"/>
            <w:vAlign w:val="center"/>
          </w:tcPr>
          <w:p w14:paraId="5DB3DDC5" w14:textId="6FC40AB3" w:rsidR="00D43D3C" w:rsidRPr="009A66BD" w:rsidRDefault="00981AEA" w:rsidP="72A5C518">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Rezultati</w:t>
            </w:r>
          </w:p>
        </w:tc>
        <w:tc>
          <w:tcPr>
            <w:tcW w:w="1800" w:type="dxa"/>
            <w:vAlign w:val="center"/>
          </w:tcPr>
          <w:p w14:paraId="584FBA2A" w14:textId="088B93A7" w:rsidR="00D43D3C" w:rsidRPr="009A66BD" w:rsidRDefault="00981AEA" w:rsidP="72A5C518">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Mbështetja e donatorëve</w:t>
            </w:r>
          </w:p>
        </w:tc>
        <w:tc>
          <w:tcPr>
            <w:tcW w:w="3960" w:type="dxa"/>
            <w:vAlign w:val="center"/>
          </w:tcPr>
          <w:p w14:paraId="0B16F1C0" w14:textId="130B9253" w:rsidR="00D43D3C" w:rsidRPr="009A66BD" w:rsidRDefault="00981AEA" w:rsidP="00981AEA">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Komentet</w:t>
            </w:r>
          </w:p>
        </w:tc>
      </w:tr>
      <w:tr w:rsidR="0067796D" w:rsidRPr="009A66BD" w14:paraId="04232E1E" w14:textId="69AC7DBE" w:rsidTr="00205372">
        <w:trPr>
          <w:cnfStyle w:val="000000100000" w:firstRow="0" w:lastRow="0" w:firstColumn="0" w:lastColumn="0" w:oddVBand="0" w:evenVBand="0" w:oddHBand="1" w:evenHBand="0" w:firstRowFirstColumn="0" w:firstRowLastColumn="0" w:lastRowFirstColumn="0" w:lastRowLastColumn="0"/>
          <w:trHeight w:val="208"/>
        </w:trPr>
        <w:tc>
          <w:tcPr>
            <w:tcW w:w="14845" w:type="dxa"/>
            <w:gridSpan w:val="7"/>
            <w:vAlign w:val="center"/>
          </w:tcPr>
          <w:p w14:paraId="1960C71B" w14:textId="7C0218A6" w:rsidR="0067796D" w:rsidRPr="009A66BD" w:rsidRDefault="0067796D" w:rsidP="00DC7873">
            <w:pPr>
              <w:autoSpaceDE w:val="0"/>
              <w:autoSpaceDN w:val="0"/>
              <w:adjustRightInd w:val="0"/>
              <w:spacing w:line="240" w:lineRule="auto"/>
              <w:ind w:left="240" w:firstLine="0"/>
              <w:jc w:val="left"/>
              <w:rPr>
                <w:rFonts w:asciiTheme="minorHAnsi" w:eastAsiaTheme="minorEastAsia" w:hAnsiTheme="minorHAnsi" w:cstheme="minorHAnsi"/>
                <w:i/>
                <w:iCs/>
                <w:color w:val="000000" w:themeColor="text1"/>
                <w:szCs w:val="20"/>
                <w:lang w:val="sq-AL"/>
              </w:rPr>
            </w:pPr>
            <w:bookmarkStart w:id="6" w:name="_Hlk524524345"/>
            <w:bookmarkEnd w:id="4"/>
            <w:r w:rsidRPr="009A66BD">
              <w:rPr>
                <w:rFonts w:asciiTheme="minorHAnsi" w:eastAsiaTheme="minorEastAsia" w:hAnsiTheme="minorHAnsi" w:cstheme="minorHAnsi"/>
                <w:i/>
                <w:iCs/>
                <w:color w:val="000000" w:themeColor="text1"/>
                <w:szCs w:val="20"/>
                <w:lang w:val="sq-AL"/>
              </w:rPr>
              <w:t xml:space="preserve">1. </w:t>
            </w:r>
            <w:r w:rsidR="00DC7873">
              <w:rPr>
                <w:rFonts w:asciiTheme="minorHAnsi" w:eastAsiaTheme="minorEastAsia" w:hAnsiTheme="minorHAnsi" w:cstheme="minorHAnsi"/>
                <w:i/>
                <w:iCs/>
                <w:color w:val="000000" w:themeColor="text1"/>
                <w:szCs w:val="20"/>
                <w:lang w:val="sq-AL"/>
              </w:rPr>
              <w:t>P</w:t>
            </w:r>
            <w:r w:rsidR="006822F7">
              <w:rPr>
                <w:rFonts w:asciiTheme="minorHAnsi" w:eastAsiaTheme="minorEastAsia" w:hAnsiTheme="minorHAnsi" w:cstheme="minorHAnsi"/>
                <w:i/>
                <w:iCs/>
                <w:color w:val="000000" w:themeColor="text1"/>
                <w:szCs w:val="20"/>
                <w:lang w:val="sq-AL"/>
              </w:rPr>
              <w:t>ë</w:t>
            </w:r>
            <w:r w:rsidR="00DC7873">
              <w:rPr>
                <w:rFonts w:asciiTheme="minorHAnsi" w:eastAsiaTheme="minorEastAsia" w:hAnsiTheme="minorHAnsi" w:cstheme="minorHAnsi"/>
                <w:i/>
                <w:iCs/>
                <w:color w:val="000000" w:themeColor="text1"/>
                <w:szCs w:val="20"/>
                <w:lang w:val="sq-AL"/>
              </w:rPr>
              <w:t>rmir</w:t>
            </w:r>
            <w:r w:rsidR="006822F7">
              <w:rPr>
                <w:rFonts w:asciiTheme="minorHAnsi" w:eastAsiaTheme="minorEastAsia" w:hAnsiTheme="minorHAnsi" w:cstheme="minorHAnsi"/>
                <w:i/>
                <w:iCs/>
                <w:color w:val="000000" w:themeColor="text1"/>
                <w:szCs w:val="20"/>
                <w:lang w:val="sq-AL"/>
              </w:rPr>
              <w:t>ë</w:t>
            </w:r>
            <w:r w:rsidR="00DC7873">
              <w:rPr>
                <w:rFonts w:asciiTheme="minorHAnsi" w:eastAsiaTheme="minorEastAsia" w:hAnsiTheme="minorHAnsi" w:cstheme="minorHAnsi"/>
                <w:i/>
                <w:iCs/>
                <w:color w:val="000000" w:themeColor="text1"/>
                <w:szCs w:val="20"/>
                <w:lang w:val="sq-AL"/>
              </w:rPr>
              <w:t>simi i mund</w:t>
            </w:r>
            <w:r w:rsidR="006822F7">
              <w:rPr>
                <w:rFonts w:asciiTheme="minorHAnsi" w:eastAsiaTheme="minorEastAsia" w:hAnsiTheme="minorHAnsi" w:cstheme="minorHAnsi"/>
                <w:i/>
                <w:iCs/>
                <w:color w:val="000000" w:themeColor="text1"/>
                <w:szCs w:val="20"/>
                <w:lang w:val="sq-AL"/>
              </w:rPr>
              <w:t>ë</w:t>
            </w:r>
            <w:r w:rsidR="00DC7873">
              <w:rPr>
                <w:rFonts w:asciiTheme="minorHAnsi" w:eastAsiaTheme="minorEastAsia" w:hAnsiTheme="minorHAnsi" w:cstheme="minorHAnsi"/>
                <w:i/>
                <w:iCs/>
                <w:color w:val="000000" w:themeColor="text1"/>
                <w:szCs w:val="20"/>
                <w:lang w:val="sq-AL"/>
              </w:rPr>
              <w:t>sive t</w:t>
            </w:r>
            <w:r w:rsidR="006822F7">
              <w:rPr>
                <w:rFonts w:asciiTheme="minorHAnsi" w:eastAsiaTheme="minorEastAsia" w:hAnsiTheme="minorHAnsi" w:cstheme="minorHAnsi"/>
                <w:i/>
                <w:iCs/>
                <w:color w:val="000000" w:themeColor="text1"/>
                <w:szCs w:val="20"/>
                <w:lang w:val="sq-AL"/>
              </w:rPr>
              <w:t>ë</w:t>
            </w:r>
            <w:r w:rsidR="00DC7873">
              <w:rPr>
                <w:rFonts w:asciiTheme="minorHAnsi" w:eastAsiaTheme="minorEastAsia" w:hAnsiTheme="minorHAnsi" w:cstheme="minorHAnsi"/>
                <w:i/>
                <w:iCs/>
                <w:color w:val="000000" w:themeColor="text1"/>
                <w:szCs w:val="20"/>
                <w:lang w:val="sq-AL"/>
              </w:rPr>
              <w:t xml:space="preserve"> hyrjes the themelimit </w:t>
            </w:r>
            <w:r w:rsidR="000F594C" w:rsidRPr="009A66BD">
              <w:rPr>
                <w:rFonts w:asciiTheme="minorHAnsi" w:eastAsiaTheme="minorEastAsia" w:hAnsiTheme="minorHAnsi" w:cstheme="minorHAnsi"/>
                <w:i/>
                <w:iCs/>
                <w:color w:val="000000" w:themeColor="text1"/>
                <w:szCs w:val="20"/>
                <w:lang w:val="sq-AL"/>
              </w:rPr>
              <w:t>për investitorët</w:t>
            </w:r>
          </w:p>
        </w:tc>
      </w:tr>
      <w:bookmarkEnd w:id="5"/>
      <w:bookmarkEnd w:id="6"/>
      <w:tr w:rsidR="00027B33" w:rsidRPr="00612497" w14:paraId="2B32EAD1" w14:textId="77777777" w:rsidTr="00B33697">
        <w:trPr>
          <w:trHeight w:val="668"/>
        </w:trPr>
        <w:tc>
          <w:tcPr>
            <w:tcW w:w="2335" w:type="dxa"/>
            <w:vMerge w:val="restart"/>
          </w:tcPr>
          <w:p w14:paraId="1070F3E7" w14:textId="1145AB92" w:rsidR="00027B33" w:rsidRPr="009A66BD" w:rsidRDefault="00027B33" w:rsidP="006822F7">
            <w:pPr>
              <w:spacing w:after="120" w:line="240" w:lineRule="auto"/>
              <w:ind w:firstLine="0"/>
              <w:jc w:val="left"/>
              <w:rPr>
                <w:rFonts w:asciiTheme="majorHAnsi" w:eastAsiaTheme="minorEastAsia" w:hAnsiTheme="majorHAnsi" w:cstheme="majorHAnsi"/>
                <w:i/>
                <w:iCs/>
                <w:szCs w:val="20"/>
                <w:lang w:val="sq-AL"/>
              </w:rPr>
            </w:pPr>
            <w:r w:rsidRPr="009A66BD">
              <w:rPr>
                <w:rFonts w:asciiTheme="majorHAnsi" w:eastAsiaTheme="minorEastAsia" w:hAnsiTheme="majorHAnsi" w:cstheme="majorHAnsi"/>
                <w:i/>
                <w:iCs/>
                <w:szCs w:val="20"/>
                <w:lang w:val="sq-AL"/>
              </w:rPr>
              <w:t xml:space="preserve">1.1 </w:t>
            </w:r>
            <w:r w:rsidR="000F594C" w:rsidRPr="009A66BD">
              <w:rPr>
                <w:rFonts w:asciiTheme="majorHAnsi" w:eastAsiaTheme="minorEastAsia" w:hAnsiTheme="majorHAnsi" w:cstheme="majorHAnsi"/>
                <w:i/>
                <w:iCs/>
                <w:szCs w:val="20"/>
                <w:lang w:val="sq-AL"/>
              </w:rPr>
              <w:t>Rishikimi i ligjeve dhe rregulloreve të brendshme në BP 6 për mospërputhjet me parime</w:t>
            </w:r>
            <w:r w:rsidR="00DC7873">
              <w:rPr>
                <w:rFonts w:asciiTheme="majorHAnsi" w:eastAsiaTheme="minorEastAsia" w:hAnsiTheme="majorHAnsi" w:cstheme="majorHAnsi"/>
                <w:i/>
                <w:iCs/>
                <w:szCs w:val="20"/>
                <w:lang w:val="sq-AL"/>
              </w:rPr>
              <w:t xml:space="preserve">t e </w:t>
            </w:r>
            <w:proofErr w:type="spellStart"/>
            <w:r w:rsidR="000F594C" w:rsidRPr="009A66BD">
              <w:rPr>
                <w:rFonts w:asciiTheme="majorHAnsi" w:eastAsiaTheme="minorEastAsia" w:hAnsiTheme="majorHAnsi" w:cstheme="majorHAnsi"/>
                <w:i/>
                <w:iCs/>
                <w:szCs w:val="20"/>
                <w:lang w:val="sq-AL"/>
              </w:rPr>
              <w:t>mosdiskriminimit</w:t>
            </w:r>
            <w:proofErr w:type="spellEnd"/>
            <w:r w:rsidR="000F594C" w:rsidRPr="009A66BD">
              <w:rPr>
                <w:rFonts w:asciiTheme="majorHAnsi" w:eastAsiaTheme="minorEastAsia" w:hAnsiTheme="majorHAnsi" w:cstheme="majorHAnsi"/>
                <w:i/>
                <w:iCs/>
                <w:szCs w:val="20"/>
                <w:lang w:val="sq-AL"/>
              </w:rPr>
              <w:t xml:space="preserve"> </w:t>
            </w:r>
            <w:r w:rsidR="00872D73">
              <w:rPr>
                <w:rFonts w:asciiTheme="majorHAnsi" w:eastAsiaTheme="minorEastAsia" w:hAnsiTheme="majorHAnsi" w:cstheme="majorHAnsi"/>
                <w:i/>
                <w:iCs/>
                <w:szCs w:val="20"/>
                <w:lang w:val="sq-AL"/>
              </w:rPr>
              <w:t>n</w:t>
            </w:r>
            <w:r w:rsidR="006822F7">
              <w:rPr>
                <w:rFonts w:asciiTheme="majorHAnsi" w:eastAsiaTheme="minorEastAsia" w:hAnsiTheme="majorHAnsi" w:cstheme="majorHAnsi"/>
                <w:i/>
                <w:iCs/>
                <w:szCs w:val="20"/>
                <w:lang w:val="sq-AL"/>
              </w:rPr>
              <w:t>ë</w:t>
            </w:r>
            <w:r w:rsidR="00872D73">
              <w:rPr>
                <w:rFonts w:asciiTheme="majorHAnsi" w:eastAsiaTheme="minorEastAsia" w:hAnsiTheme="majorHAnsi" w:cstheme="majorHAnsi"/>
                <w:i/>
                <w:iCs/>
                <w:szCs w:val="20"/>
                <w:lang w:val="sq-AL"/>
              </w:rPr>
              <w:t xml:space="preserve">  hyrjen dhe themelimin </w:t>
            </w:r>
            <w:r w:rsidR="007808D2" w:rsidRPr="009A66BD">
              <w:rPr>
                <w:rFonts w:asciiTheme="majorHAnsi" w:eastAsiaTheme="minorEastAsia" w:hAnsiTheme="majorHAnsi" w:cstheme="majorHAnsi"/>
                <w:i/>
                <w:iCs/>
                <w:szCs w:val="20"/>
                <w:lang w:val="sq-AL"/>
              </w:rPr>
              <w:t>(</w:t>
            </w:r>
            <w:r w:rsidR="0012174A">
              <w:rPr>
                <w:rFonts w:asciiTheme="majorHAnsi" w:eastAsiaTheme="minorEastAsia" w:hAnsiTheme="majorHAnsi" w:cstheme="majorHAnsi"/>
                <w:i/>
                <w:iCs/>
                <w:szCs w:val="20"/>
                <w:lang w:val="sq-AL"/>
              </w:rPr>
              <w:t xml:space="preserve">Analiza e </w:t>
            </w:r>
            <w:r w:rsidR="006822F7">
              <w:rPr>
                <w:rFonts w:asciiTheme="majorHAnsi" w:eastAsiaTheme="minorEastAsia" w:hAnsiTheme="majorHAnsi" w:cstheme="majorHAnsi"/>
                <w:i/>
                <w:iCs/>
                <w:szCs w:val="20"/>
                <w:lang w:val="sq-AL"/>
              </w:rPr>
              <w:t xml:space="preserve">Hendekut </w:t>
            </w:r>
            <w:r w:rsidR="0012174A">
              <w:rPr>
                <w:rFonts w:asciiTheme="majorHAnsi" w:eastAsiaTheme="minorEastAsia" w:hAnsiTheme="majorHAnsi" w:cstheme="majorHAnsi"/>
                <w:i/>
                <w:iCs/>
                <w:szCs w:val="20"/>
                <w:lang w:val="sq-AL"/>
              </w:rPr>
              <w:t xml:space="preserve"> t</w:t>
            </w:r>
            <w:r w:rsidR="0012174A" w:rsidRPr="0012174A">
              <w:rPr>
                <w:rFonts w:asciiTheme="majorHAnsi" w:eastAsiaTheme="minorEastAsia" w:hAnsiTheme="majorHAnsi" w:cstheme="majorHAnsi"/>
                <w:i/>
                <w:iCs/>
                <w:szCs w:val="20"/>
                <w:lang w:val="sq-AL"/>
              </w:rPr>
              <w:t xml:space="preserve">ë </w:t>
            </w:r>
            <w:r w:rsidR="0012174A">
              <w:rPr>
                <w:rFonts w:asciiTheme="majorHAnsi" w:eastAsiaTheme="minorEastAsia" w:hAnsiTheme="majorHAnsi" w:cstheme="majorHAnsi"/>
                <w:i/>
                <w:iCs/>
                <w:szCs w:val="20"/>
                <w:lang w:val="sq-AL"/>
              </w:rPr>
              <w:t>H</w:t>
            </w:r>
            <w:r w:rsidR="0012174A" w:rsidRPr="0012174A">
              <w:rPr>
                <w:rFonts w:asciiTheme="majorHAnsi" w:eastAsiaTheme="minorEastAsia" w:hAnsiTheme="majorHAnsi" w:cstheme="majorHAnsi" w:hint="eastAsia"/>
                <w:i/>
                <w:iCs/>
                <w:szCs w:val="20"/>
                <w:lang w:val="sq-AL"/>
              </w:rPr>
              <w:t>yrjes</w:t>
            </w:r>
            <w:r w:rsidR="007808D2" w:rsidRPr="009A66BD">
              <w:rPr>
                <w:rFonts w:asciiTheme="majorHAnsi" w:eastAsiaTheme="minorEastAsia" w:hAnsiTheme="majorHAnsi" w:cstheme="majorHAnsi"/>
                <w:i/>
                <w:iCs/>
                <w:szCs w:val="20"/>
                <w:lang w:val="sq-AL"/>
              </w:rPr>
              <w:t xml:space="preserve">) dhe publikimi i një liste të konsoliduar të barrierave ligjore </w:t>
            </w:r>
            <w:r w:rsidR="00872D73">
              <w:rPr>
                <w:rFonts w:asciiTheme="majorHAnsi" w:eastAsiaTheme="minorEastAsia" w:hAnsiTheme="majorHAnsi" w:cstheme="majorHAnsi"/>
                <w:i/>
                <w:iCs/>
                <w:szCs w:val="20"/>
                <w:lang w:val="sq-AL"/>
              </w:rPr>
              <w:t xml:space="preserve">ndaj hyrjes </w:t>
            </w:r>
            <w:r w:rsidR="007808D2" w:rsidRPr="009A66BD">
              <w:rPr>
                <w:rFonts w:asciiTheme="majorHAnsi" w:eastAsiaTheme="minorEastAsia" w:hAnsiTheme="majorHAnsi" w:cstheme="majorHAnsi"/>
                <w:i/>
                <w:iCs/>
                <w:szCs w:val="20"/>
                <w:lang w:val="sq-AL"/>
              </w:rPr>
              <w:t>për të rritur transparencën për investitorët.</w:t>
            </w:r>
          </w:p>
        </w:tc>
        <w:tc>
          <w:tcPr>
            <w:tcW w:w="2610" w:type="dxa"/>
          </w:tcPr>
          <w:p w14:paraId="584990E6" w14:textId="20F7670B" w:rsidR="00027B33" w:rsidRPr="009A66BD" w:rsidRDefault="00027B33" w:rsidP="006822F7">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1.1.1. </w:t>
            </w:r>
            <w:r w:rsidR="00FB309B" w:rsidRPr="009A66BD">
              <w:rPr>
                <w:rFonts w:asciiTheme="minorHAnsi" w:eastAsiaTheme="minorEastAsia" w:hAnsiTheme="minorHAnsi" w:cstheme="minorBidi"/>
                <w:szCs w:val="20"/>
                <w:lang w:val="sq-AL"/>
              </w:rPr>
              <w:t>Para-</w:t>
            </w:r>
            <w:r w:rsidR="00872D73">
              <w:rPr>
                <w:rFonts w:asciiTheme="minorHAnsi" w:eastAsiaTheme="minorEastAsia" w:hAnsiTheme="minorHAnsi" w:cstheme="minorBidi"/>
                <w:szCs w:val="20"/>
                <w:lang w:val="sq-AL"/>
              </w:rPr>
              <w:t>p</w:t>
            </w:r>
            <w:r w:rsidR="006822F7">
              <w:rPr>
                <w:rFonts w:asciiTheme="minorHAnsi" w:eastAsiaTheme="minorEastAsia" w:hAnsiTheme="minorHAnsi" w:cstheme="minorBidi"/>
                <w:szCs w:val="20"/>
                <w:lang w:val="sq-AL"/>
              </w:rPr>
              <w:t>ë</w:t>
            </w:r>
            <w:r w:rsidR="00872D73">
              <w:rPr>
                <w:rFonts w:asciiTheme="minorHAnsi" w:eastAsiaTheme="minorEastAsia" w:hAnsiTheme="minorHAnsi" w:cstheme="minorBidi"/>
                <w:szCs w:val="20"/>
                <w:lang w:val="sq-AL"/>
              </w:rPr>
              <w:t xml:space="preserve">rzgjedhja </w:t>
            </w:r>
            <w:r w:rsidR="007808D2" w:rsidRPr="009A66BD">
              <w:rPr>
                <w:rFonts w:asciiTheme="minorHAnsi" w:eastAsiaTheme="minorEastAsia" w:hAnsiTheme="minorHAnsi" w:cstheme="minorBidi"/>
                <w:szCs w:val="20"/>
                <w:lang w:val="sq-AL"/>
              </w:rPr>
              <w:t xml:space="preserve">dhe </w:t>
            </w:r>
            <w:proofErr w:type="spellStart"/>
            <w:r w:rsidR="007808D2" w:rsidRPr="009A66BD">
              <w:rPr>
                <w:rFonts w:asciiTheme="minorHAnsi" w:eastAsiaTheme="minorEastAsia" w:hAnsiTheme="minorHAnsi" w:cstheme="minorBidi"/>
                <w:szCs w:val="20"/>
                <w:lang w:val="sq-AL"/>
              </w:rPr>
              <w:t>hartëzimi</w:t>
            </w:r>
            <w:proofErr w:type="spellEnd"/>
            <w:r w:rsidR="007808D2" w:rsidRPr="009A66BD">
              <w:rPr>
                <w:rFonts w:asciiTheme="minorHAnsi" w:eastAsiaTheme="minorEastAsia" w:hAnsiTheme="minorHAnsi" w:cstheme="minorBidi"/>
                <w:szCs w:val="20"/>
                <w:lang w:val="sq-AL"/>
              </w:rPr>
              <w:t xml:space="preserve"> i instrumenteve ligjore për t'u shqyrtuar si pjesë e </w:t>
            </w:r>
            <w:r w:rsidR="0012174A">
              <w:rPr>
                <w:rFonts w:asciiTheme="minorHAnsi" w:eastAsiaTheme="minorEastAsia" w:hAnsiTheme="minorHAnsi" w:cstheme="minorBidi"/>
                <w:szCs w:val="20"/>
                <w:lang w:val="sq-AL"/>
              </w:rPr>
              <w:t xml:space="preserve">Analizës së </w:t>
            </w:r>
            <w:r w:rsidR="006822F7">
              <w:rPr>
                <w:rFonts w:asciiTheme="minorHAnsi" w:eastAsiaTheme="minorEastAsia" w:hAnsiTheme="minorHAnsi" w:cstheme="minorBidi"/>
                <w:szCs w:val="20"/>
                <w:lang w:val="sq-AL"/>
              </w:rPr>
              <w:t xml:space="preserve">Hendekut </w:t>
            </w:r>
            <w:r w:rsidR="0012174A">
              <w:rPr>
                <w:rFonts w:asciiTheme="minorHAnsi" w:eastAsiaTheme="minorEastAsia" w:hAnsiTheme="minorHAnsi" w:cstheme="minorBidi"/>
                <w:szCs w:val="20"/>
                <w:lang w:val="sq-AL"/>
              </w:rPr>
              <w:t xml:space="preserve"> të H</w:t>
            </w:r>
            <w:r w:rsidR="003E6F88">
              <w:rPr>
                <w:rFonts w:asciiTheme="minorHAnsi" w:eastAsiaTheme="minorEastAsia" w:hAnsiTheme="minorHAnsi" w:cstheme="minorBidi"/>
                <w:szCs w:val="20"/>
                <w:lang w:val="sq-AL"/>
              </w:rPr>
              <w:t>yrje</w:t>
            </w:r>
            <w:r w:rsidR="00872D73">
              <w:rPr>
                <w:rFonts w:asciiTheme="minorHAnsi" w:eastAsiaTheme="minorEastAsia" w:hAnsiTheme="minorHAnsi" w:cstheme="minorBidi"/>
                <w:szCs w:val="20"/>
                <w:lang w:val="sq-AL"/>
              </w:rPr>
              <w:t>s</w:t>
            </w:r>
            <w:r w:rsidR="007808D2" w:rsidRPr="009A66BD">
              <w:rPr>
                <w:rFonts w:asciiTheme="minorHAnsi" w:eastAsiaTheme="minorEastAsia" w:hAnsiTheme="minorHAnsi" w:cstheme="minorBidi"/>
                <w:szCs w:val="20"/>
                <w:lang w:val="sq-AL"/>
              </w:rPr>
              <w:t xml:space="preserve"> </w:t>
            </w:r>
          </w:p>
        </w:tc>
        <w:tc>
          <w:tcPr>
            <w:tcW w:w="900" w:type="dxa"/>
          </w:tcPr>
          <w:p w14:paraId="1948B94C" w14:textId="30F32C1C" w:rsidR="00027B33" w:rsidRPr="009A66BD" w:rsidRDefault="007808D2"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r w:rsidR="00027B33" w:rsidRPr="009A66BD">
              <w:rPr>
                <w:rFonts w:asciiTheme="minorHAnsi" w:eastAsiaTheme="minorEastAsia" w:hAnsiTheme="minorHAnsi" w:cstheme="minorHAnsi"/>
                <w:szCs w:val="20"/>
                <w:lang w:val="sq-AL"/>
              </w:rPr>
              <w:t>2019</w:t>
            </w:r>
          </w:p>
        </w:tc>
        <w:tc>
          <w:tcPr>
            <w:tcW w:w="1260" w:type="dxa"/>
          </w:tcPr>
          <w:p w14:paraId="15F9681C" w14:textId="722FB181" w:rsidR="00027B33" w:rsidRPr="009A66BD" w:rsidRDefault="00C6749E" w:rsidP="00027B3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Tregtisë dhe Industrisë</w:t>
            </w:r>
          </w:p>
        </w:tc>
        <w:tc>
          <w:tcPr>
            <w:tcW w:w="1980" w:type="dxa"/>
          </w:tcPr>
          <w:p w14:paraId="1C1BC94C" w14:textId="12674D6D" w:rsidR="00027B33" w:rsidRPr="009A66BD" w:rsidRDefault="00B94540"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Lista e ligjeve dhe rregulloreve që ndikojnë në investimet në Kosovë *</w:t>
            </w:r>
          </w:p>
        </w:tc>
        <w:tc>
          <w:tcPr>
            <w:tcW w:w="1800" w:type="dxa"/>
          </w:tcPr>
          <w:p w14:paraId="71063B41" w14:textId="735AE055" w:rsidR="00027B33" w:rsidRPr="009A66BD" w:rsidRDefault="006F14A0" w:rsidP="006822F7">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Projekti </w:t>
            </w:r>
            <w:r w:rsidR="00872D73">
              <w:rPr>
                <w:rFonts w:asciiTheme="minorHAnsi" w:eastAsiaTheme="minorEastAsia" w:hAnsiTheme="minorHAnsi" w:cstheme="minorBidi"/>
                <w:szCs w:val="20"/>
                <w:lang w:val="sq-AL"/>
              </w:rPr>
              <w:t>i IFC/Grupit t</w:t>
            </w:r>
            <w:r w:rsidR="006822F7">
              <w:rPr>
                <w:rFonts w:asciiTheme="minorHAnsi" w:eastAsiaTheme="minorEastAsia" w:hAnsiTheme="minorHAnsi" w:cstheme="minorBidi"/>
                <w:szCs w:val="20"/>
                <w:lang w:val="sq-AL"/>
              </w:rPr>
              <w:t>ë</w:t>
            </w:r>
            <w:r w:rsidR="00872D73">
              <w:rPr>
                <w:rFonts w:asciiTheme="minorHAnsi" w:eastAsiaTheme="minorEastAsia" w:hAnsiTheme="minorHAnsi" w:cstheme="minorBidi"/>
                <w:szCs w:val="20"/>
                <w:lang w:val="sq-AL"/>
              </w:rPr>
              <w:t xml:space="preserve"> Bank</w:t>
            </w:r>
            <w:r w:rsidR="006822F7">
              <w:rPr>
                <w:rFonts w:asciiTheme="minorHAnsi" w:eastAsiaTheme="minorEastAsia" w:hAnsiTheme="minorHAnsi" w:cstheme="minorBidi"/>
                <w:szCs w:val="20"/>
                <w:lang w:val="sq-AL"/>
              </w:rPr>
              <w:t>ë</w:t>
            </w:r>
            <w:r w:rsidR="00872D73">
              <w:rPr>
                <w:rFonts w:asciiTheme="minorHAnsi" w:eastAsiaTheme="minorEastAsia" w:hAnsiTheme="minorHAnsi" w:cstheme="minorBidi"/>
                <w:szCs w:val="20"/>
                <w:lang w:val="sq-AL"/>
              </w:rPr>
              <w:t>s Bot</w:t>
            </w:r>
            <w:r w:rsidR="006822F7">
              <w:rPr>
                <w:rFonts w:asciiTheme="minorHAnsi" w:eastAsiaTheme="minorEastAsia" w:hAnsiTheme="minorHAnsi" w:cstheme="minorBidi"/>
                <w:szCs w:val="20"/>
                <w:lang w:val="sq-AL"/>
              </w:rPr>
              <w:t>ë</w:t>
            </w:r>
            <w:r w:rsidR="00872D73">
              <w:rPr>
                <w:rFonts w:asciiTheme="minorHAnsi" w:eastAsiaTheme="minorEastAsia" w:hAnsiTheme="minorHAnsi" w:cstheme="minorBidi"/>
                <w:szCs w:val="20"/>
                <w:lang w:val="sq-AL"/>
              </w:rPr>
              <w:t xml:space="preserve">rore </w:t>
            </w:r>
            <w:r w:rsidRPr="009A66BD">
              <w:rPr>
                <w:rFonts w:asciiTheme="minorHAnsi" w:eastAsiaTheme="minorEastAsia" w:hAnsiTheme="minorHAnsi" w:cstheme="minorBidi"/>
                <w:szCs w:val="20"/>
                <w:lang w:val="sq-AL"/>
              </w:rPr>
              <w:t>për Politik</w:t>
            </w:r>
            <w:r w:rsidR="00872D73">
              <w:rPr>
                <w:rFonts w:asciiTheme="minorHAnsi" w:eastAsiaTheme="minorEastAsia" w:hAnsiTheme="minorHAnsi" w:cstheme="minorBidi"/>
                <w:szCs w:val="20"/>
                <w:lang w:val="sq-AL"/>
              </w:rPr>
              <w:t>at</w:t>
            </w:r>
            <w:r w:rsidRPr="009A66BD">
              <w:rPr>
                <w:rFonts w:asciiTheme="minorHAnsi" w:eastAsiaTheme="minorEastAsia" w:hAnsiTheme="minorHAnsi" w:cstheme="minorBidi"/>
                <w:szCs w:val="20"/>
                <w:lang w:val="sq-AL"/>
              </w:rPr>
              <w:t xml:space="preserve"> dhe Promovimin e Investimeve në Rajonin e Ballkanit Perëndimor</w:t>
            </w:r>
            <w:r w:rsidR="00872D73">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 xml:space="preserve"> (</w:t>
            </w:r>
            <w:r w:rsidR="006822F7">
              <w:rPr>
                <w:rFonts w:asciiTheme="minorHAnsi" w:eastAsiaTheme="minorEastAsia" w:hAnsiTheme="minorHAnsi" w:cstheme="minorBidi"/>
                <w:szCs w:val="20"/>
                <w:lang w:val="sq-AL"/>
              </w:rPr>
              <w:t>W</w:t>
            </w:r>
            <w:r w:rsidR="008D5E84">
              <w:rPr>
                <w:rFonts w:asciiTheme="minorHAnsi" w:eastAsiaTheme="minorEastAsia" w:hAnsiTheme="minorHAnsi" w:cstheme="minorBidi"/>
                <w:szCs w:val="20"/>
                <w:lang w:val="sq-AL"/>
              </w:rPr>
              <w:t>BG</w:t>
            </w:r>
            <w:r w:rsidR="00CD4486" w:rsidRPr="009A66BD">
              <w:rPr>
                <w:rFonts w:asciiTheme="minorHAnsi" w:eastAsiaTheme="minorEastAsia" w:hAnsiTheme="minorHAnsi" w:cstheme="minorBidi"/>
                <w:szCs w:val="20"/>
                <w:lang w:val="sq-AL"/>
              </w:rPr>
              <w:t xml:space="preserve"> </w:t>
            </w:r>
            <w:r w:rsidR="008D5E84">
              <w:rPr>
                <w:rFonts w:asciiTheme="minorHAnsi" w:eastAsiaTheme="minorEastAsia" w:hAnsiTheme="minorHAnsi" w:cstheme="minorBidi"/>
                <w:szCs w:val="20"/>
                <w:lang w:val="sq-AL"/>
              </w:rPr>
              <w:t>–</w:t>
            </w:r>
            <w:r w:rsidR="00CD4486" w:rsidRPr="009A66BD">
              <w:rPr>
                <w:rFonts w:asciiTheme="minorHAnsi" w:eastAsiaTheme="minorEastAsia" w:hAnsiTheme="minorHAnsi" w:cstheme="minorBidi"/>
                <w:szCs w:val="20"/>
                <w:lang w:val="sq-AL"/>
              </w:rPr>
              <w:t xml:space="preserve"> </w:t>
            </w:r>
            <w:r w:rsidR="006822F7">
              <w:rPr>
                <w:rFonts w:asciiTheme="minorHAnsi" w:eastAsiaTheme="minorEastAsia" w:hAnsiTheme="minorHAnsi" w:cstheme="minorBidi"/>
                <w:szCs w:val="20"/>
                <w:lang w:val="sq-AL"/>
              </w:rPr>
              <w:t>W</w:t>
            </w:r>
            <w:r w:rsidR="008D5E84">
              <w:rPr>
                <w:rFonts w:asciiTheme="minorHAnsi" w:eastAsiaTheme="minorEastAsia" w:hAnsiTheme="minorHAnsi" w:cstheme="minorBidi"/>
                <w:szCs w:val="20"/>
                <w:lang w:val="sq-AL"/>
              </w:rPr>
              <w:t>B IPP</w:t>
            </w:r>
            <w:r w:rsidR="00CD4486">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w:t>
            </w:r>
            <w:r w:rsidR="008D5E84">
              <w:rPr>
                <w:rFonts w:asciiTheme="minorHAnsi" w:eastAsiaTheme="minorEastAsia" w:hAnsiTheme="minorHAnsi" w:cstheme="minorBidi"/>
                <w:szCs w:val="20"/>
                <w:lang w:val="sq-AL"/>
              </w:rPr>
              <w:t xml:space="preserve"> (GBB-BP PPI)</w:t>
            </w:r>
          </w:p>
        </w:tc>
        <w:tc>
          <w:tcPr>
            <w:tcW w:w="3960" w:type="dxa"/>
          </w:tcPr>
          <w:p w14:paraId="171C13DE" w14:textId="22ACEB87" w:rsidR="00027B33" w:rsidRPr="009A66BD" w:rsidRDefault="00872D73" w:rsidP="00872D73">
            <w:pPr>
              <w:spacing w:after="120" w:line="240" w:lineRule="auto"/>
              <w:ind w:firstLine="0"/>
              <w:jc w:val="left"/>
              <w:rPr>
                <w:rFonts w:asciiTheme="minorHAnsi" w:eastAsiaTheme="minorEastAsia" w:hAnsiTheme="minorHAnsi" w:cstheme="minorHAnsi"/>
                <w:i/>
                <w:szCs w:val="20"/>
                <w:lang w:val="sq-AL"/>
              </w:rPr>
            </w:pPr>
            <w:r>
              <w:rPr>
                <w:rFonts w:asciiTheme="minorHAnsi" w:eastAsiaTheme="minorEastAsia" w:hAnsiTheme="minorHAnsi" w:cstheme="minorHAnsi"/>
                <w:i/>
                <w:szCs w:val="20"/>
                <w:lang w:val="sq-AL"/>
              </w:rPr>
              <w:t>Fush</w:t>
            </w:r>
            <w:r w:rsidR="006822F7">
              <w:rPr>
                <w:rFonts w:asciiTheme="minorHAnsi" w:eastAsiaTheme="minorEastAsia" w:hAnsiTheme="minorHAnsi" w:cstheme="minorHAnsi"/>
                <w:i/>
                <w:szCs w:val="20"/>
                <w:lang w:val="sq-AL"/>
              </w:rPr>
              <w:t>ë</w:t>
            </w:r>
            <w:r>
              <w:rPr>
                <w:rFonts w:asciiTheme="minorHAnsi" w:eastAsiaTheme="minorEastAsia" w:hAnsiTheme="minorHAnsi" w:cstheme="minorHAnsi"/>
                <w:i/>
                <w:szCs w:val="20"/>
                <w:lang w:val="sq-AL"/>
              </w:rPr>
              <w:t xml:space="preserve">veprimi </w:t>
            </w:r>
            <w:r w:rsidR="00135178" w:rsidRPr="009A66BD">
              <w:rPr>
                <w:rFonts w:asciiTheme="minorHAnsi" w:eastAsiaTheme="minorEastAsia" w:hAnsiTheme="minorHAnsi" w:cstheme="minorHAnsi"/>
                <w:i/>
                <w:szCs w:val="20"/>
                <w:lang w:val="sq-AL"/>
              </w:rPr>
              <w:t>i</w:t>
            </w:r>
            <w:r w:rsidR="002C237E" w:rsidRPr="009A66BD">
              <w:rPr>
                <w:rFonts w:asciiTheme="minorHAnsi" w:eastAsiaTheme="minorEastAsia" w:hAnsiTheme="minorHAnsi" w:cstheme="minorHAnsi"/>
                <w:i/>
                <w:szCs w:val="20"/>
                <w:lang w:val="sq-AL"/>
              </w:rPr>
              <w:t xml:space="preserve"> mbulimit shtrihet në të gjitha ligjet dhe rregulloret që ndikojnë në investime</w:t>
            </w:r>
            <w:r>
              <w:rPr>
                <w:rFonts w:asciiTheme="minorHAnsi" w:eastAsiaTheme="minorEastAsia" w:hAnsiTheme="minorHAnsi" w:cstheme="minorHAnsi"/>
                <w:i/>
                <w:szCs w:val="20"/>
                <w:lang w:val="sq-AL"/>
              </w:rPr>
              <w:t>t</w:t>
            </w:r>
            <w:r w:rsidR="002C237E" w:rsidRPr="009A66BD">
              <w:rPr>
                <w:rFonts w:asciiTheme="minorHAnsi" w:eastAsiaTheme="minorEastAsia" w:hAnsiTheme="minorHAnsi" w:cstheme="minorHAnsi"/>
                <w:i/>
                <w:szCs w:val="20"/>
                <w:lang w:val="sq-AL"/>
              </w:rPr>
              <w:t xml:space="preserve"> në nivel kombëtar, duke përfshirë instrumentet ligjore horizontale dhe </w:t>
            </w:r>
            <w:r>
              <w:rPr>
                <w:rFonts w:asciiTheme="minorHAnsi" w:eastAsiaTheme="minorEastAsia" w:hAnsiTheme="minorHAnsi" w:cstheme="minorHAnsi"/>
                <w:i/>
                <w:szCs w:val="20"/>
                <w:lang w:val="sq-AL"/>
              </w:rPr>
              <w:t xml:space="preserve">specifike </w:t>
            </w:r>
            <w:r w:rsidR="002C237E" w:rsidRPr="009A66BD">
              <w:rPr>
                <w:rFonts w:asciiTheme="minorHAnsi" w:eastAsiaTheme="minorEastAsia" w:hAnsiTheme="minorHAnsi" w:cstheme="minorHAnsi"/>
                <w:i/>
                <w:szCs w:val="20"/>
                <w:lang w:val="sq-AL"/>
              </w:rPr>
              <w:t>sektoriale.</w:t>
            </w:r>
          </w:p>
        </w:tc>
      </w:tr>
      <w:tr w:rsidR="00027B33" w:rsidRPr="00612497" w14:paraId="6C53FB9E" w14:textId="17881C01" w:rsidTr="00B33697">
        <w:trPr>
          <w:cnfStyle w:val="000000100000" w:firstRow="0" w:lastRow="0" w:firstColumn="0" w:lastColumn="0" w:oddVBand="0" w:evenVBand="0" w:oddHBand="1" w:evenHBand="0" w:firstRowFirstColumn="0" w:firstRowLastColumn="0" w:lastRowFirstColumn="0" w:lastRowLastColumn="0"/>
          <w:trHeight w:val="668"/>
        </w:trPr>
        <w:tc>
          <w:tcPr>
            <w:tcW w:w="2335" w:type="dxa"/>
            <w:vMerge/>
          </w:tcPr>
          <w:p w14:paraId="0A44D55D" w14:textId="77777777" w:rsidR="00027B33" w:rsidRPr="009A66BD" w:rsidRDefault="00027B33" w:rsidP="00027B33">
            <w:pPr>
              <w:spacing w:after="120" w:line="240" w:lineRule="auto"/>
              <w:ind w:left="520" w:firstLine="0"/>
              <w:jc w:val="left"/>
              <w:rPr>
                <w:rFonts w:asciiTheme="majorHAnsi" w:eastAsiaTheme="minorEastAsia" w:hAnsiTheme="majorHAnsi" w:cstheme="majorHAnsi"/>
                <w:i/>
                <w:iCs/>
                <w:szCs w:val="20"/>
                <w:lang w:val="sq-AL"/>
              </w:rPr>
            </w:pPr>
          </w:p>
        </w:tc>
        <w:tc>
          <w:tcPr>
            <w:tcW w:w="2610" w:type="dxa"/>
          </w:tcPr>
          <w:p w14:paraId="0DB9F7E7" w14:textId="1640A45B" w:rsidR="00027B33" w:rsidRPr="009A66BD" w:rsidRDefault="00027B33" w:rsidP="00CD448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Calibri" w:hAnsiTheme="minorHAnsi" w:cstheme="minorHAnsi"/>
                <w:color w:val="000000" w:themeColor="text1"/>
                <w:kern w:val="24"/>
                <w:lang w:val="sq-AL"/>
              </w:rPr>
              <w:t xml:space="preserve">1.1.2. </w:t>
            </w:r>
            <w:r w:rsidR="00FB309B" w:rsidRPr="009A66BD">
              <w:rPr>
                <w:rFonts w:asciiTheme="minorHAnsi" w:eastAsia="Calibri" w:hAnsiTheme="minorHAnsi" w:cstheme="minorHAnsi"/>
                <w:color w:val="000000" w:themeColor="text1"/>
                <w:kern w:val="24"/>
                <w:lang w:val="sq-AL"/>
              </w:rPr>
              <w:t>Rishikimi dhe analizimi i instrumenteve ligjore të para-</w:t>
            </w:r>
            <w:r w:rsidR="00872D73">
              <w:rPr>
                <w:rFonts w:asciiTheme="minorHAnsi" w:eastAsia="Calibri" w:hAnsiTheme="minorHAnsi" w:cstheme="minorHAnsi"/>
                <w:color w:val="000000" w:themeColor="text1"/>
                <w:kern w:val="24"/>
                <w:lang w:val="sq-AL"/>
              </w:rPr>
              <w:t>p</w:t>
            </w:r>
            <w:r w:rsidR="006822F7">
              <w:rPr>
                <w:rFonts w:asciiTheme="minorHAnsi" w:eastAsia="Calibri" w:hAnsiTheme="minorHAnsi" w:cstheme="minorHAnsi"/>
                <w:color w:val="000000" w:themeColor="text1"/>
                <w:kern w:val="24"/>
                <w:lang w:val="sq-AL"/>
              </w:rPr>
              <w:t>ë</w:t>
            </w:r>
            <w:r w:rsidR="00872D73">
              <w:rPr>
                <w:rFonts w:asciiTheme="minorHAnsi" w:eastAsia="Calibri" w:hAnsiTheme="minorHAnsi" w:cstheme="minorHAnsi"/>
                <w:color w:val="000000" w:themeColor="text1"/>
                <w:kern w:val="24"/>
                <w:lang w:val="sq-AL"/>
              </w:rPr>
              <w:t>rzgjedhura</w:t>
            </w:r>
            <w:r w:rsidR="00FB309B" w:rsidRPr="009A66BD">
              <w:rPr>
                <w:rFonts w:asciiTheme="minorHAnsi" w:eastAsia="Calibri" w:hAnsiTheme="minorHAnsi" w:cstheme="minorHAnsi"/>
                <w:color w:val="000000" w:themeColor="text1"/>
                <w:kern w:val="24"/>
                <w:lang w:val="sq-AL"/>
              </w:rPr>
              <w:t xml:space="preserve"> për të identifikuar masat që mund të shkelin parimet që përbëjnë fushëveprimin substan</w:t>
            </w:r>
            <w:r w:rsidR="00CD4486">
              <w:rPr>
                <w:rFonts w:asciiTheme="minorHAnsi" w:eastAsia="Calibri" w:hAnsiTheme="minorHAnsi" w:cstheme="minorHAnsi"/>
                <w:color w:val="000000" w:themeColor="text1"/>
                <w:kern w:val="24"/>
                <w:lang w:val="sq-AL"/>
              </w:rPr>
              <w:t xml:space="preserve">tiv </w:t>
            </w:r>
            <w:r w:rsidR="00FB309B" w:rsidRPr="009A66BD">
              <w:rPr>
                <w:rFonts w:asciiTheme="minorHAnsi" w:eastAsia="Calibri" w:hAnsiTheme="minorHAnsi" w:cstheme="minorHAnsi"/>
                <w:color w:val="000000" w:themeColor="text1"/>
                <w:kern w:val="24"/>
                <w:lang w:val="sq-AL"/>
              </w:rPr>
              <w:t xml:space="preserve"> të analizës</w:t>
            </w:r>
          </w:p>
        </w:tc>
        <w:tc>
          <w:tcPr>
            <w:tcW w:w="900" w:type="dxa"/>
          </w:tcPr>
          <w:p w14:paraId="3268055A" w14:textId="0CB0E36D" w:rsidR="00027B33" w:rsidRPr="009A66BD" w:rsidRDefault="00DA335F"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Dhjetor</w:t>
            </w:r>
            <w:r w:rsidR="00027B33" w:rsidRPr="009A66BD">
              <w:rPr>
                <w:rFonts w:asciiTheme="minorHAnsi" w:eastAsiaTheme="minorEastAsia" w:hAnsiTheme="minorHAnsi" w:cstheme="minorHAnsi"/>
                <w:szCs w:val="20"/>
                <w:lang w:val="sq-AL"/>
              </w:rPr>
              <w:t xml:space="preserve"> 2019</w:t>
            </w:r>
          </w:p>
        </w:tc>
        <w:tc>
          <w:tcPr>
            <w:tcW w:w="1260" w:type="dxa"/>
          </w:tcPr>
          <w:p w14:paraId="5BA21C85" w14:textId="33F6DE65" w:rsidR="00027B33" w:rsidRPr="009A66BD" w:rsidRDefault="00C6749E" w:rsidP="00027B3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Tregtisë dhe Industrisë</w:t>
            </w:r>
          </w:p>
        </w:tc>
        <w:tc>
          <w:tcPr>
            <w:tcW w:w="1980" w:type="dxa"/>
          </w:tcPr>
          <w:p w14:paraId="771900A0" w14:textId="7E9B1FC4" w:rsidR="0012174A" w:rsidRDefault="00FB309B" w:rsidP="00623E15">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Ra</w:t>
            </w:r>
            <w:r w:rsidR="006F4E74" w:rsidRPr="009A66BD">
              <w:rPr>
                <w:rFonts w:asciiTheme="minorHAnsi" w:eastAsiaTheme="minorEastAsia" w:hAnsiTheme="minorHAnsi" w:cstheme="minorHAnsi"/>
                <w:szCs w:val="20"/>
                <w:lang w:val="sq-AL"/>
              </w:rPr>
              <w:t xml:space="preserve">porti që përmban rezultatet e </w:t>
            </w:r>
            <w:r w:rsidR="0012174A" w:rsidRPr="0012174A">
              <w:rPr>
                <w:rFonts w:asciiTheme="minorHAnsi" w:eastAsiaTheme="minorEastAsia" w:hAnsiTheme="minorHAnsi" w:cstheme="minorHAnsi"/>
                <w:szCs w:val="20"/>
                <w:lang w:val="sq-AL"/>
              </w:rPr>
              <w:t xml:space="preserve">Analizës së </w:t>
            </w:r>
            <w:r w:rsidR="006822F7">
              <w:rPr>
                <w:rFonts w:asciiTheme="minorHAnsi" w:eastAsiaTheme="minorEastAsia" w:hAnsiTheme="minorHAnsi" w:cstheme="minorHAnsi"/>
                <w:szCs w:val="20"/>
                <w:lang w:val="sq-AL"/>
              </w:rPr>
              <w:t xml:space="preserve">Hendekut </w:t>
            </w:r>
            <w:r w:rsidR="0012174A" w:rsidRPr="0012174A">
              <w:rPr>
                <w:rFonts w:asciiTheme="minorHAnsi" w:eastAsiaTheme="minorEastAsia" w:hAnsiTheme="minorHAnsi" w:cstheme="minorHAnsi"/>
                <w:szCs w:val="20"/>
                <w:lang w:val="sq-AL"/>
              </w:rPr>
              <w:t>të Hyrje</w:t>
            </w:r>
            <w:r w:rsidR="00CD4486">
              <w:rPr>
                <w:rFonts w:asciiTheme="minorHAnsi" w:eastAsiaTheme="minorEastAsia" w:hAnsiTheme="minorHAnsi" w:cstheme="minorHAnsi"/>
                <w:szCs w:val="20"/>
                <w:lang w:val="sq-AL"/>
              </w:rPr>
              <w:t>s</w:t>
            </w:r>
            <w:r w:rsidR="0012174A" w:rsidRPr="0012174A">
              <w:rPr>
                <w:rFonts w:asciiTheme="minorHAnsi" w:eastAsiaTheme="minorEastAsia" w:hAnsiTheme="minorHAnsi" w:cstheme="minorHAnsi"/>
                <w:szCs w:val="20"/>
                <w:lang w:val="sq-AL"/>
              </w:rPr>
              <w:t xml:space="preserve"> </w:t>
            </w:r>
          </w:p>
          <w:p w14:paraId="752CF773" w14:textId="1F58E678" w:rsidR="00027B33" w:rsidRPr="009A66BD" w:rsidRDefault="00AE05AA" w:rsidP="00CD448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w:t>
            </w:r>
            <w:r w:rsidR="001D4049" w:rsidRPr="009A66BD">
              <w:rPr>
                <w:rFonts w:asciiTheme="minorHAnsi" w:eastAsiaTheme="minorEastAsia" w:hAnsiTheme="minorHAnsi" w:cstheme="minorHAnsi"/>
                <w:szCs w:val="20"/>
                <w:lang w:val="sq-AL"/>
              </w:rPr>
              <w:t xml:space="preserve">jë listë e barrierave </w:t>
            </w:r>
            <w:r w:rsidR="001E3453" w:rsidRPr="009A66BD">
              <w:rPr>
                <w:rFonts w:asciiTheme="minorHAnsi" w:eastAsiaTheme="minorEastAsia" w:hAnsiTheme="minorHAnsi" w:cstheme="minorHAnsi"/>
                <w:szCs w:val="20"/>
                <w:lang w:val="sq-AL"/>
              </w:rPr>
              <w:t>ligjore</w:t>
            </w:r>
            <w:r w:rsidR="001E3453">
              <w:rPr>
                <w:rFonts w:asciiTheme="minorHAnsi" w:eastAsiaTheme="minorEastAsia" w:hAnsiTheme="minorHAnsi" w:cstheme="minorHAnsi"/>
                <w:szCs w:val="20"/>
                <w:lang w:val="sq-AL"/>
              </w:rPr>
              <w:t xml:space="preserve"> </w:t>
            </w:r>
            <w:r w:rsidR="00CD4486">
              <w:rPr>
                <w:rFonts w:asciiTheme="minorHAnsi" w:eastAsiaTheme="minorEastAsia" w:hAnsiTheme="minorHAnsi" w:cstheme="minorHAnsi"/>
                <w:szCs w:val="20"/>
                <w:lang w:val="sq-AL"/>
              </w:rPr>
              <w:t>ndaj hyrjes</w:t>
            </w:r>
            <w:r w:rsidRPr="009A66BD">
              <w:rPr>
                <w:rFonts w:asciiTheme="minorHAnsi" w:eastAsiaTheme="minorEastAsia" w:hAnsiTheme="minorHAnsi" w:cstheme="minorHAnsi"/>
                <w:szCs w:val="20"/>
                <w:lang w:val="sq-AL"/>
              </w:rPr>
              <w:t>.</w:t>
            </w:r>
          </w:p>
        </w:tc>
        <w:tc>
          <w:tcPr>
            <w:tcW w:w="1800" w:type="dxa"/>
          </w:tcPr>
          <w:p w14:paraId="591DEE83" w14:textId="43738861" w:rsidR="00027B33" w:rsidRPr="009A66BD" w:rsidRDefault="008D5E84" w:rsidP="00027B33">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9A66BD">
              <w:rPr>
                <w:rFonts w:asciiTheme="minorHAnsi" w:eastAsiaTheme="minorEastAsia" w:hAnsiTheme="minorHAnsi" w:cstheme="minorBidi"/>
                <w:szCs w:val="20"/>
                <w:lang w:val="sq-AL"/>
              </w:rPr>
              <w:t xml:space="preserve"> - BP PPI</w:t>
            </w:r>
          </w:p>
        </w:tc>
        <w:tc>
          <w:tcPr>
            <w:tcW w:w="3960" w:type="dxa"/>
          </w:tcPr>
          <w:p w14:paraId="3AD0B0D3" w14:textId="2C00CCF6" w:rsidR="00027B33" w:rsidRPr="009A66BD" w:rsidRDefault="0046419E" w:rsidP="00027B33">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Fushëveprimi substan</w:t>
            </w:r>
            <w:r w:rsidR="00CD4486">
              <w:rPr>
                <w:rFonts w:asciiTheme="minorHAnsi" w:eastAsiaTheme="minorEastAsia" w:hAnsiTheme="minorHAnsi" w:cstheme="minorHAnsi"/>
                <w:i/>
                <w:szCs w:val="20"/>
                <w:lang w:val="sq-AL"/>
              </w:rPr>
              <w:t>tiv</w:t>
            </w:r>
            <w:r w:rsidRPr="009A66BD">
              <w:rPr>
                <w:rFonts w:asciiTheme="minorHAnsi" w:eastAsiaTheme="minorEastAsia" w:hAnsiTheme="minorHAnsi" w:cstheme="minorHAnsi"/>
                <w:i/>
                <w:szCs w:val="20"/>
                <w:lang w:val="sq-AL"/>
              </w:rPr>
              <w:t xml:space="preserve"> i analizës së këtij veprimi të PVRI, si dhe formati i rezultatit përshkruhet në Shtojcë</w:t>
            </w:r>
            <w:r w:rsidR="00027B33" w:rsidRPr="009A66BD">
              <w:rPr>
                <w:rFonts w:asciiTheme="minorHAnsi" w:eastAsiaTheme="minorEastAsia" w:hAnsiTheme="minorHAnsi" w:cstheme="minorHAnsi"/>
                <w:i/>
                <w:szCs w:val="20"/>
                <w:lang w:val="sq-AL"/>
              </w:rPr>
              <w:t>.</w:t>
            </w:r>
          </w:p>
          <w:p w14:paraId="5BA70816" w14:textId="4F4F3668" w:rsidR="00027B33" w:rsidRPr="009A66BD" w:rsidRDefault="00F6734D"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i/>
                <w:szCs w:val="20"/>
                <w:lang w:val="sq-AL"/>
              </w:rPr>
              <w:t xml:space="preserve">Fushëveprimi i analizës varet nga përpjekjet e vazhdueshme ose të përfunduara në shqyrtimin e ligjeve dhe legjislacioneve në kontekst të përafrimit me Kapitullin 3 të </w:t>
            </w:r>
            <w:proofErr w:type="spellStart"/>
            <w:r w:rsidR="00705595" w:rsidRPr="009A66BD">
              <w:rPr>
                <w:rFonts w:asciiTheme="minorHAnsi" w:eastAsiaTheme="minorEastAsia" w:hAnsiTheme="minorHAnsi" w:cstheme="minorHAnsi"/>
                <w:i/>
                <w:szCs w:val="20"/>
                <w:lang w:val="sq-AL"/>
              </w:rPr>
              <w:t>Acquis</w:t>
            </w:r>
            <w:proofErr w:type="spellEnd"/>
            <w:r w:rsidRPr="009A66BD">
              <w:rPr>
                <w:rFonts w:asciiTheme="minorHAnsi" w:eastAsiaTheme="minorEastAsia" w:hAnsiTheme="minorHAnsi" w:cstheme="minorHAnsi"/>
                <w:i/>
                <w:szCs w:val="20"/>
                <w:lang w:val="sq-AL"/>
              </w:rPr>
              <w:t xml:space="preserve"> të BE-së</w:t>
            </w:r>
            <w:r w:rsidR="00027B33" w:rsidRPr="009A66BD">
              <w:rPr>
                <w:rFonts w:asciiTheme="minorHAnsi" w:eastAsiaTheme="minorEastAsia" w:hAnsiTheme="minorHAnsi" w:cstheme="minorHAnsi"/>
                <w:i/>
                <w:szCs w:val="20"/>
                <w:lang w:val="sq-AL"/>
              </w:rPr>
              <w:t>.</w:t>
            </w:r>
          </w:p>
        </w:tc>
      </w:tr>
      <w:tr w:rsidR="00C6749E" w:rsidRPr="00612497" w14:paraId="1C3E21CE" w14:textId="6426B6E1" w:rsidTr="00B33697">
        <w:trPr>
          <w:trHeight w:val="668"/>
        </w:trPr>
        <w:tc>
          <w:tcPr>
            <w:tcW w:w="2335" w:type="dxa"/>
            <w:vMerge/>
          </w:tcPr>
          <w:p w14:paraId="4DA4DBCE" w14:textId="77777777" w:rsidR="00C6749E" w:rsidRPr="009A66BD" w:rsidRDefault="00C6749E" w:rsidP="00027B33">
            <w:pPr>
              <w:spacing w:after="120" w:line="240" w:lineRule="auto"/>
              <w:ind w:left="520" w:firstLine="0"/>
              <w:jc w:val="left"/>
              <w:rPr>
                <w:rFonts w:asciiTheme="majorHAnsi" w:eastAsiaTheme="minorEastAsia" w:hAnsiTheme="majorHAnsi" w:cstheme="majorHAnsi"/>
                <w:i/>
                <w:iCs/>
                <w:szCs w:val="20"/>
                <w:lang w:val="sq-AL"/>
              </w:rPr>
            </w:pPr>
          </w:p>
        </w:tc>
        <w:tc>
          <w:tcPr>
            <w:tcW w:w="2610" w:type="dxa"/>
          </w:tcPr>
          <w:p w14:paraId="48914CC5" w14:textId="6BD529B9" w:rsidR="00C6749E" w:rsidRPr="009A66BD" w:rsidRDefault="00C6749E" w:rsidP="00872D7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1.1.3. </w:t>
            </w:r>
            <w:r w:rsidR="006F4E74" w:rsidRPr="009A66BD">
              <w:rPr>
                <w:rFonts w:asciiTheme="minorHAnsi" w:eastAsiaTheme="minorEastAsia" w:hAnsiTheme="minorHAnsi" w:cstheme="minorHAnsi"/>
                <w:szCs w:val="20"/>
                <w:lang w:val="sq-AL"/>
              </w:rPr>
              <w:t xml:space="preserve">Publikimi i një liste të konsoliduar të barrierave  ligjore </w:t>
            </w:r>
            <w:r w:rsidR="00872D73">
              <w:rPr>
                <w:rFonts w:asciiTheme="minorHAnsi" w:eastAsiaTheme="minorEastAsia" w:hAnsiTheme="minorHAnsi" w:cstheme="minorHAnsi"/>
                <w:szCs w:val="20"/>
                <w:lang w:val="sq-AL"/>
              </w:rPr>
              <w:t>ndaj hyrjes t</w:t>
            </w:r>
            <w:r w:rsidR="006822F7">
              <w:rPr>
                <w:rFonts w:asciiTheme="minorHAnsi" w:eastAsiaTheme="minorEastAsia" w:hAnsiTheme="minorHAnsi" w:cstheme="minorHAnsi"/>
                <w:szCs w:val="20"/>
                <w:lang w:val="sq-AL"/>
              </w:rPr>
              <w:t>ë</w:t>
            </w:r>
            <w:r w:rsidR="00872D73">
              <w:rPr>
                <w:rFonts w:asciiTheme="minorHAnsi" w:eastAsiaTheme="minorEastAsia" w:hAnsiTheme="minorHAnsi" w:cstheme="minorHAnsi"/>
                <w:szCs w:val="20"/>
                <w:lang w:val="sq-AL"/>
              </w:rPr>
              <w:t xml:space="preserve"> i</w:t>
            </w:r>
            <w:r w:rsidR="006F4E74" w:rsidRPr="009A66BD">
              <w:rPr>
                <w:rFonts w:asciiTheme="minorHAnsi" w:eastAsiaTheme="minorEastAsia" w:hAnsiTheme="minorHAnsi" w:cstheme="minorHAnsi"/>
                <w:szCs w:val="20"/>
                <w:lang w:val="sq-AL"/>
              </w:rPr>
              <w:t>dentifikuara në</w:t>
            </w:r>
            <w:r w:rsidR="00DE0435" w:rsidRPr="009A66BD">
              <w:rPr>
                <w:rFonts w:asciiTheme="minorHAnsi" w:eastAsiaTheme="minorEastAsia" w:hAnsiTheme="minorHAnsi" w:cstheme="minorHAnsi"/>
                <w:szCs w:val="20"/>
                <w:lang w:val="sq-AL"/>
              </w:rPr>
              <w:t xml:space="preserve"> </w:t>
            </w:r>
            <w:r w:rsidR="004C0ACD" w:rsidRPr="009A66BD">
              <w:rPr>
                <w:rFonts w:asciiTheme="minorHAnsi" w:eastAsiaTheme="minorEastAsia" w:hAnsiTheme="minorHAnsi" w:cstheme="minorHAnsi"/>
                <w:szCs w:val="20"/>
                <w:lang w:val="sq-AL"/>
              </w:rPr>
              <w:t>pikën</w:t>
            </w:r>
            <w:r w:rsidR="006F4E74" w:rsidRPr="009A66BD">
              <w:rPr>
                <w:rFonts w:asciiTheme="minorHAnsi" w:eastAsiaTheme="minorEastAsia" w:hAnsiTheme="minorHAnsi" w:cstheme="minorHAnsi"/>
                <w:szCs w:val="20"/>
                <w:lang w:val="sq-AL"/>
              </w:rPr>
              <w:t xml:space="preserve"> </w:t>
            </w:r>
            <w:r w:rsidR="00DE0435" w:rsidRPr="009A66BD">
              <w:rPr>
                <w:rFonts w:asciiTheme="minorHAnsi" w:eastAsiaTheme="minorEastAsia" w:hAnsiTheme="minorHAnsi" w:cstheme="minorHAnsi"/>
                <w:szCs w:val="20"/>
                <w:lang w:val="sq-AL"/>
              </w:rPr>
              <w:t xml:space="preserve">1.1.2 të </w:t>
            </w:r>
            <w:r w:rsidR="00033CB2" w:rsidRPr="009A66BD">
              <w:rPr>
                <w:rFonts w:asciiTheme="minorHAnsi" w:eastAsiaTheme="minorEastAsia" w:hAnsiTheme="minorHAnsi" w:cstheme="minorHAnsi"/>
                <w:szCs w:val="20"/>
                <w:lang w:val="sq-AL"/>
              </w:rPr>
              <w:t xml:space="preserve">PVRI-së </w:t>
            </w:r>
          </w:p>
        </w:tc>
        <w:tc>
          <w:tcPr>
            <w:tcW w:w="900" w:type="dxa"/>
          </w:tcPr>
          <w:p w14:paraId="093B00BB" w14:textId="6E6D6608" w:rsidR="00C6749E" w:rsidRPr="009A66BD" w:rsidRDefault="00DA335F" w:rsidP="00DA335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Shkurt</w:t>
            </w:r>
            <w:r w:rsidR="00C6749E" w:rsidRPr="009A66BD">
              <w:rPr>
                <w:rFonts w:asciiTheme="minorHAnsi" w:eastAsiaTheme="minorEastAsia" w:hAnsiTheme="minorHAnsi" w:cstheme="minorHAnsi"/>
                <w:szCs w:val="20"/>
                <w:lang w:val="sq-AL"/>
              </w:rPr>
              <w:t xml:space="preserve"> 2020</w:t>
            </w:r>
          </w:p>
        </w:tc>
        <w:tc>
          <w:tcPr>
            <w:tcW w:w="1260" w:type="dxa"/>
          </w:tcPr>
          <w:p w14:paraId="3797AD46" w14:textId="437969EF" w:rsidR="00C6749E" w:rsidRPr="009A66BD" w:rsidRDefault="00C6749E" w:rsidP="00027B3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Tregtisë dhe Industrisë</w:t>
            </w:r>
          </w:p>
        </w:tc>
        <w:tc>
          <w:tcPr>
            <w:tcW w:w="1980" w:type="dxa"/>
          </w:tcPr>
          <w:p w14:paraId="50DF17C4" w14:textId="5839D0F9" w:rsidR="00C6749E" w:rsidRPr="009A66BD" w:rsidRDefault="00033CB2" w:rsidP="00CD448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Publikimi i listës së barrierave </w:t>
            </w:r>
            <w:r w:rsidR="00020E47" w:rsidRPr="009A66BD">
              <w:rPr>
                <w:rFonts w:asciiTheme="minorHAnsi" w:eastAsiaTheme="minorEastAsia" w:hAnsiTheme="minorHAnsi" w:cstheme="minorHAnsi"/>
                <w:szCs w:val="20"/>
                <w:lang w:val="sq-AL"/>
              </w:rPr>
              <w:t xml:space="preserve">ligjore </w:t>
            </w:r>
            <w:r w:rsidR="00CD4486">
              <w:rPr>
                <w:rFonts w:asciiTheme="minorHAnsi" w:eastAsiaTheme="minorEastAsia" w:hAnsiTheme="minorHAnsi" w:cstheme="minorHAnsi"/>
                <w:szCs w:val="20"/>
                <w:lang w:val="sq-AL"/>
              </w:rPr>
              <w:t xml:space="preserve">ndaj hyrjes </w:t>
            </w:r>
            <w:r w:rsidRPr="009A66BD">
              <w:rPr>
                <w:rFonts w:asciiTheme="minorHAnsi" w:eastAsiaTheme="minorEastAsia" w:hAnsiTheme="minorHAnsi" w:cstheme="minorHAnsi"/>
                <w:szCs w:val="20"/>
                <w:lang w:val="sq-AL"/>
              </w:rPr>
              <w:t xml:space="preserve">të identifikuara në </w:t>
            </w:r>
            <w:r w:rsidR="004C0ACD" w:rsidRPr="009A66BD">
              <w:rPr>
                <w:rFonts w:asciiTheme="minorHAnsi" w:eastAsiaTheme="minorEastAsia" w:hAnsiTheme="minorHAnsi" w:cstheme="minorHAnsi"/>
                <w:szCs w:val="20"/>
                <w:lang w:val="sq-AL"/>
              </w:rPr>
              <w:t>pikën</w:t>
            </w:r>
            <w:r w:rsidR="00DE0435" w:rsidRPr="009A66BD">
              <w:rPr>
                <w:rFonts w:asciiTheme="minorHAnsi" w:eastAsiaTheme="minorEastAsia" w:hAnsiTheme="minorHAnsi" w:cstheme="minorHAnsi"/>
                <w:szCs w:val="20"/>
                <w:lang w:val="sq-AL"/>
              </w:rPr>
              <w:t xml:space="preserve"> 1.1.2 të </w:t>
            </w:r>
            <w:r w:rsidRPr="009A66BD">
              <w:rPr>
                <w:rFonts w:asciiTheme="minorHAnsi" w:eastAsiaTheme="minorEastAsia" w:hAnsiTheme="minorHAnsi" w:cstheme="minorHAnsi"/>
                <w:szCs w:val="20"/>
                <w:lang w:val="sq-AL"/>
              </w:rPr>
              <w:t>PVRI</w:t>
            </w:r>
            <w:r w:rsidR="00DE0435" w:rsidRPr="009A66BD">
              <w:rPr>
                <w:rFonts w:asciiTheme="minorHAnsi" w:eastAsiaTheme="minorEastAsia" w:hAnsiTheme="minorHAnsi" w:cstheme="minorHAnsi"/>
                <w:szCs w:val="20"/>
                <w:lang w:val="sq-AL"/>
              </w:rPr>
              <w:t>-së</w:t>
            </w:r>
            <w:r w:rsidRPr="009A66BD">
              <w:rPr>
                <w:rFonts w:asciiTheme="minorHAnsi" w:eastAsiaTheme="minorEastAsia" w:hAnsiTheme="minorHAnsi" w:cstheme="minorHAnsi"/>
                <w:szCs w:val="20"/>
                <w:lang w:val="sq-AL"/>
              </w:rPr>
              <w:t>.</w:t>
            </w:r>
          </w:p>
        </w:tc>
        <w:tc>
          <w:tcPr>
            <w:tcW w:w="1800" w:type="dxa"/>
          </w:tcPr>
          <w:p w14:paraId="199FA308" w14:textId="4858001C" w:rsidR="00C6749E" w:rsidRPr="009A66BD" w:rsidRDefault="00033CB2"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3960" w:type="dxa"/>
          </w:tcPr>
          <w:p w14:paraId="3C42D14C" w14:textId="46898995" w:rsidR="00C6749E" w:rsidRPr="009A66BD" w:rsidRDefault="00A549F7"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20"/>
                <w:lang w:val="sq-AL"/>
              </w:rPr>
              <w:t>Autoritetet e Kosovës * do të vendosin mbi strukturën e listës</w:t>
            </w:r>
            <w:r w:rsidR="00C6749E" w:rsidRPr="009A66BD">
              <w:rPr>
                <w:rFonts w:asciiTheme="minorHAnsi" w:eastAsiaTheme="minorEastAsia" w:hAnsiTheme="minorHAnsi" w:cstheme="minorBidi"/>
                <w:i/>
                <w:szCs w:val="20"/>
                <w:lang w:val="sq-AL"/>
              </w:rPr>
              <w:t>.</w:t>
            </w:r>
          </w:p>
        </w:tc>
      </w:tr>
      <w:tr w:rsidR="00C6749E" w:rsidRPr="00612497" w14:paraId="45809CA2" w14:textId="0FC744BD" w:rsidTr="00B33697">
        <w:trPr>
          <w:cnfStyle w:val="000000100000" w:firstRow="0" w:lastRow="0" w:firstColumn="0" w:lastColumn="0" w:oddVBand="0" w:evenVBand="0" w:oddHBand="1" w:evenHBand="0" w:firstRowFirstColumn="0" w:firstRowLastColumn="0" w:lastRowFirstColumn="0" w:lastRowLastColumn="0"/>
          <w:trHeight w:val="2287"/>
        </w:trPr>
        <w:tc>
          <w:tcPr>
            <w:tcW w:w="2335" w:type="dxa"/>
          </w:tcPr>
          <w:p w14:paraId="646B8811" w14:textId="25048C50" w:rsidR="00C6749E" w:rsidRPr="009A66BD" w:rsidRDefault="00C6749E" w:rsidP="00CD4486">
            <w:pPr>
              <w:spacing w:after="120" w:line="240" w:lineRule="auto"/>
              <w:ind w:firstLine="0"/>
              <w:jc w:val="left"/>
              <w:rPr>
                <w:rFonts w:asciiTheme="majorHAnsi" w:eastAsiaTheme="minorEastAsia" w:hAnsiTheme="majorHAnsi" w:cstheme="majorHAnsi"/>
                <w:i/>
                <w:iCs/>
                <w:szCs w:val="20"/>
                <w:lang w:val="sq-AL"/>
              </w:rPr>
            </w:pPr>
            <w:r w:rsidRPr="009A66BD">
              <w:rPr>
                <w:rFonts w:asciiTheme="majorHAnsi" w:eastAsiaTheme="minorEastAsia" w:hAnsiTheme="majorHAnsi" w:cstheme="majorHAnsi"/>
                <w:i/>
                <w:iCs/>
                <w:szCs w:val="20"/>
                <w:lang w:val="sq-AL"/>
              </w:rPr>
              <w:lastRenderedPageBreak/>
              <w:t xml:space="preserve">1.2 </w:t>
            </w:r>
            <w:r w:rsidR="00AC532F" w:rsidRPr="009A66BD">
              <w:rPr>
                <w:rFonts w:asciiTheme="majorHAnsi" w:eastAsiaTheme="minorEastAsia" w:hAnsiTheme="majorHAnsi" w:cstheme="majorHAnsi"/>
                <w:i/>
                <w:iCs/>
                <w:szCs w:val="20"/>
                <w:lang w:val="sq-AL"/>
              </w:rPr>
              <w:t>Përdorimi i</w:t>
            </w:r>
            <w:r w:rsidR="00CD4486">
              <w:rPr>
                <w:rFonts w:asciiTheme="majorHAnsi" w:eastAsiaTheme="minorEastAsia" w:hAnsiTheme="majorHAnsi" w:cstheme="majorHAnsi"/>
                <w:i/>
                <w:iCs/>
                <w:szCs w:val="20"/>
                <w:lang w:val="sq-AL"/>
              </w:rPr>
              <w:t xml:space="preserve"> t</w:t>
            </w:r>
            <w:r w:rsidR="006822F7">
              <w:rPr>
                <w:rFonts w:asciiTheme="majorHAnsi" w:eastAsiaTheme="minorEastAsia" w:hAnsiTheme="majorHAnsi" w:cstheme="majorHAnsi"/>
                <w:i/>
                <w:iCs/>
                <w:szCs w:val="20"/>
                <w:lang w:val="sq-AL"/>
              </w:rPr>
              <w:t>ë</w:t>
            </w:r>
            <w:r w:rsidR="00CD4486">
              <w:rPr>
                <w:rFonts w:asciiTheme="majorHAnsi" w:eastAsiaTheme="minorEastAsia" w:hAnsiTheme="majorHAnsi" w:cstheme="majorHAnsi"/>
                <w:i/>
                <w:iCs/>
                <w:szCs w:val="20"/>
                <w:lang w:val="sq-AL"/>
              </w:rPr>
              <w:t xml:space="preserve"> m</w:t>
            </w:r>
            <w:r w:rsidR="006822F7">
              <w:rPr>
                <w:rFonts w:asciiTheme="majorHAnsi" w:eastAsiaTheme="minorEastAsia" w:hAnsiTheme="majorHAnsi" w:cstheme="majorHAnsi"/>
                <w:i/>
                <w:iCs/>
                <w:szCs w:val="20"/>
                <w:lang w:val="sq-AL"/>
              </w:rPr>
              <w:t>ë</w:t>
            </w:r>
            <w:r w:rsidR="00CD4486">
              <w:rPr>
                <w:rFonts w:asciiTheme="majorHAnsi" w:eastAsiaTheme="minorEastAsia" w:hAnsiTheme="majorHAnsi" w:cstheme="majorHAnsi"/>
                <w:i/>
                <w:iCs/>
                <w:szCs w:val="20"/>
                <w:lang w:val="sq-AL"/>
              </w:rPr>
              <w:t>sip</w:t>
            </w:r>
            <w:r w:rsidR="006822F7">
              <w:rPr>
                <w:rFonts w:asciiTheme="majorHAnsi" w:eastAsiaTheme="minorEastAsia" w:hAnsiTheme="majorHAnsi" w:cstheme="majorHAnsi"/>
                <w:i/>
                <w:iCs/>
                <w:szCs w:val="20"/>
                <w:lang w:val="sq-AL"/>
              </w:rPr>
              <w:t>ë</w:t>
            </w:r>
            <w:r w:rsidR="00CD4486">
              <w:rPr>
                <w:rFonts w:asciiTheme="majorHAnsi" w:eastAsiaTheme="minorEastAsia" w:hAnsiTheme="majorHAnsi" w:cstheme="majorHAnsi"/>
                <w:i/>
                <w:iCs/>
                <w:szCs w:val="20"/>
                <w:lang w:val="sq-AL"/>
              </w:rPr>
              <w:t xml:space="preserve">rmeve </w:t>
            </w:r>
            <w:r w:rsidR="00A549F7" w:rsidRPr="009A66BD">
              <w:rPr>
                <w:rFonts w:asciiTheme="majorHAnsi" w:eastAsiaTheme="minorEastAsia" w:hAnsiTheme="majorHAnsi" w:cstheme="majorHAnsi"/>
                <w:i/>
                <w:iCs/>
                <w:szCs w:val="20"/>
                <w:lang w:val="sq-AL"/>
              </w:rPr>
              <w:t xml:space="preserve">për të </w:t>
            </w:r>
            <w:r w:rsidR="00CD4486">
              <w:rPr>
                <w:rFonts w:asciiTheme="majorHAnsi" w:eastAsiaTheme="minorEastAsia" w:hAnsiTheme="majorHAnsi" w:cstheme="majorHAnsi"/>
                <w:i/>
                <w:iCs/>
                <w:szCs w:val="20"/>
                <w:lang w:val="sq-AL"/>
              </w:rPr>
              <w:t xml:space="preserve">informuar </w:t>
            </w:r>
            <w:r w:rsidR="00A549F7" w:rsidRPr="009A66BD">
              <w:rPr>
                <w:rFonts w:asciiTheme="majorHAnsi" w:eastAsiaTheme="minorEastAsia" w:hAnsiTheme="majorHAnsi" w:cstheme="majorHAnsi"/>
                <w:i/>
                <w:iCs/>
                <w:szCs w:val="20"/>
                <w:lang w:val="sq-AL"/>
              </w:rPr>
              <w:t xml:space="preserve">një diskutim mbi barrierat ekzistuese </w:t>
            </w:r>
            <w:r w:rsidR="00CD4486">
              <w:rPr>
                <w:rFonts w:asciiTheme="majorHAnsi" w:eastAsiaTheme="minorEastAsia" w:hAnsiTheme="majorHAnsi" w:cstheme="majorHAnsi"/>
                <w:i/>
                <w:iCs/>
                <w:szCs w:val="20"/>
                <w:lang w:val="sq-AL"/>
              </w:rPr>
              <w:t xml:space="preserve">ndaj </w:t>
            </w:r>
            <w:r w:rsidR="00A549F7" w:rsidRPr="009A66BD">
              <w:rPr>
                <w:rFonts w:asciiTheme="majorHAnsi" w:eastAsiaTheme="minorEastAsia" w:hAnsiTheme="majorHAnsi" w:cstheme="majorHAnsi"/>
                <w:i/>
                <w:iCs/>
                <w:szCs w:val="20"/>
                <w:lang w:val="sq-AL"/>
              </w:rPr>
              <w:t>investime</w:t>
            </w:r>
            <w:r w:rsidR="00CD4486">
              <w:rPr>
                <w:rFonts w:asciiTheme="majorHAnsi" w:eastAsiaTheme="minorEastAsia" w:hAnsiTheme="majorHAnsi" w:cstheme="majorHAnsi"/>
                <w:i/>
                <w:iCs/>
                <w:szCs w:val="20"/>
                <w:lang w:val="sq-AL"/>
              </w:rPr>
              <w:t>ve</w:t>
            </w:r>
            <w:r w:rsidR="00A549F7" w:rsidRPr="009A66BD">
              <w:rPr>
                <w:rFonts w:asciiTheme="majorHAnsi" w:eastAsiaTheme="minorEastAsia" w:hAnsiTheme="majorHAnsi" w:cstheme="majorHAnsi"/>
                <w:i/>
                <w:iCs/>
                <w:szCs w:val="20"/>
                <w:lang w:val="sq-AL"/>
              </w:rPr>
              <w:t xml:space="preserve"> në rajonin e BP6.</w:t>
            </w:r>
          </w:p>
        </w:tc>
        <w:tc>
          <w:tcPr>
            <w:tcW w:w="2610" w:type="dxa"/>
          </w:tcPr>
          <w:p w14:paraId="0C4FE446" w14:textId="0234E19D" w:rsidR="00C6749E" w:rsidRPr="009A66BD" w:rsidRDefault="00C6749E" w:rsidP="00CD448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1.2.1. </w:t>
            </w:r>
            <w:r w:rsidR="00950D03" w:rsidRPr="009A66BD">
              <w:rPr>
                <w:rFonts w:asciiTheme="minorHAnsi" w:eastAsiaTheme="minorEastAsia" w:hAnsiTheme="minorHAnsi" w:cstheme="minorBidi"/>
                <w:szCs w:val="20"/>
                <w:lang w:val="sq-AL"/>
              </w:rPr>
              <w:t xml:space="preserve">Bazuar në analizat e kryera në kuadër të </w:t>
            </w:r>
            <w:r w:rsidR="00DE0435" w:rsidRPr="009A66BD">
              <w:rPr>
                <w:rFonts w:asciiTheme="minorHAnsi" w:eastAsiaTheme="minorEastAsia" w:hAnsiTheme="minorHAnsi" w:cstheme="minorBidi"/>
                <w:szCs w:val="20"/>
                <w:lang w:val="sq-AL"/>
              </w:rPr>
              <w:t xml:space="preserve">veprimit 1.1 të </w:t>
            </w:r>
            <w:r w:rsidR="00950D03" w:rsidRPr="009A66BD">
              <w:rPr>
                <w:rFonts w:asciiTheme="minorHAnsi" w:eastAsiaTheme="minorEastAsia" w:hAnsiTheme="minorHAnsi" w:cstheme="minorBidi"/>
                <w:szCs w:val="20"/>
                <w:lang w:val="sq-AL"/>
              </w:rPr>
              <w:t xml:space="preserve">PVRI-së, </w:t>
            </w:r>
            <w:r w:rsidR="00CD4486">
              <w:rPr>
                <w:rFonts w:asciiTheme="minorHAnsi" w:eastAsiaTheme="minorEastAsia" w:hAnsiTheme="minorHAnsi" w:cstheme="minorBidi"/>
                <w:szCs w:val="20"/>
                <w:lang w:val="sq-AL"/>
              </w:rPr>
              <w:t>t</w:t>
            </w:r>
            <w:r w:rsidR="006822F7">
              <w:rPr>
                <w:rFonts w:asciiTheme="minorHAnsi" w:eastAsiaTheme="minorEastAsia" w:hAnsiTheme="minorHAnsi" w:cstheme="minorBidi"/>
                <w:szCs w:val="20"/>
                <w:lang w:val="sq-AL"/>
              </w:rPr>
              <w:t>ë</w:t>
            </w:r>
            <w:r w:rsidR="00CD4486">
              <w:rPr>
                <w:rFonts w:asciiTheme="minorHAnsi" w:eastAsiaTheme="minorEastAsia" w:hAnsiTheme="minorHAnsi" w:cstheme="minorBidi"/>
                <w:szCs w:val="20"/>
                <w:lang w:val="sq-AL"/>
              </w:rPr>
              <w:t xml:space="preserve"> </w:t>
            </w:r>
            <w:r w:rsidR="00950D03" w:rsidRPr="009A66BD">
              <w:rPr>
                <w:rFonts w:asciiTheme="minorHAnsi" w:eastAsiaTheme="minorEastAsia" w:hAnsiTheme="minorHAnsi" w:cstheme="minorBidi"/>
                <w:szCs w:val="20"/>
                <w:lang w:val="sq-AL"/>
              </w:rPr>
              <w:t>vendos</w:t>
            </w:r>
            <w:r w:rsidR="00CD4486">
              <w:rPr>
                <w:rFonts w:asciiTheme="minorHAnsi" w:eastAsiaTheme="minorEastAsia" w:hAnsiTheme="minorHAnsi" w:cstheme="minorBidi"/>
                <w:szCs w:val="20"/>
                <w:lang w:val="sq-AL"/>
              </w:rPr>
              <w:t>et</w:t>
            </w:r>
            <w:r w:rsidR="00950D03" w:rsidRPr="009A66BD">
              <w:rPr>
                <w:rFonts w:asciiTheme="minorHAnsi" w:eastAsiaTheme="minorEastAsia" w:hAnsiTheme="minorHAnsi" w:cstheme="minorBidi"/>
                <w:szCs w:val="20"/>
                <w:lang w:val="sq-AL"/>
              </w:rPr>
              <w:t xml:space="preserve"> nëse do të ndiq</w:t>
            </w:r>
            <w:r w:rsidR="00CD4486">
              <w:rPr>
                <w:rFonts w:asciiTheme="minorHAnsi" w:eastAsiaTheme="minorEastAsia" w:hAnsiTheme="minorHAnsi" w:cstheme="minorBidi"/>
                <w:szCs w:val="20"/>
                <w:lang w:val="sq-AL"/>
              </w:rPr>
              <w:t xml:space="preserve">en </w:t>
            </w:r>
            <w:r w:rsidR="00950D03" w:rsidRPr="009A66BD">
              <w:rPr>
                <w:rFonts w:asciiTheme="minorHAnsi" w:eastAsiaTheme="minorEastAsia" w:hAnsiTheme="minorHAnsi" w:cstheme="minorBidi"/>
                <w:szCs w:val="20"/>
                <w:lang w:val="sq-AL"/>
              </w:rPr>
              <w:t xml:space="preserve"> përpjekjet për reforma në lidhje me hyrjen e investimeve.</w:t>
            </w:r>
          </w:p>
        </w:tc>
        <w:tc>
          <w:tcPr>
            <w:tcW w:w="900" w:type="dxa"/>
          </w:tcPr>
          <w:p w14:paraId="6FF4FAB6" w14:textId="1D1B5FA1" w:rsidR="00C6749E" w:rsidRPr="009A66BD" w:rsidRDefault="00C6749E" w:rsidP="00DA335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Mar</w:t>
            </w:r>
            <w:r w:rsidR="00DA335F" w:rsidRPr="009A66BD">
              <w:rPr>
                <w:rFonts w:asciiTheme="minorHAnsi" w:eastAsiaTheme="minorEastAsia" w:hAnsiTheme="minorHAnsi" w:cstheme="minorBidi"/>
                <w:szCs w:val="20"/>
                <w:lang w:val="sq-AL"/>
              </w:rPr>
              <w:t>s</w:t>
            </w:r>
            <w:r w:rsidRPr="009A66BD">
              <w:rPr>
                <w:rFonts w:asciiTheme="minorHAnsi" w:eastAsiaTheme="minorEastAsia" w:hAnsiTheme="minorHAnsi" w:cstheme="minorBidi"/>
                <w:szCs w:val="20"/>
                <w:lang w:val="sq-AL"/>
              </w:rPr>
              <w:t xml:space="preserve"> 2020</w:t>
            </w:r>
          </w:p>
        </w:tc>
        <w:tc>
          <w:tcPr>
            <w:tcW w:w="1260" w:type="dxa"/>
          </w:tcPr>
          <w:p w14:paraId="24431B8B" w14:textId="2889A2B3" w:rsidR="00C6749E" w:rsidRPr="009A66BD" w:rsidRDefault="00C6749E" w:rsidP="00027B3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Tregtisë dhe Industrisë</w:t>
            </w:r>
          </w:p>
        </w:tc>
        <w:tc>
          <w:tcPr>
            <w:tcW w:w="1980" w:type="dxa"/>
          </w:tcPr>
          <w:p w14:paraId="3D846E0D" w14:textId="6F0E7CF5" w:rsidR="00C6749E" w:rsidRPr="009A66BD" w:rsidRDefault="00586EC4" w:rsidP="00CD448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Vendimi </w:t>
            </w:r>
            <w:r w:rsidR="00CD4486">
              <w:rPr>
                <w:rFonts w:asciiTheme="minorHAnsi" w:eastAsiaTheme="minorEastAsia" w:hAnsiTheme="minorHAnsi" w:cstheme="minorBidi"/>
                <w:szCs w:val="20"/>
                <w:lang w:val="sq-AL"/>
              </w:rPr>
              <w:t>mbi at</w:t>
            </w:r>
            <w:r w:rsidR="006822F7">
              <w:rPr>
                <w:rFonts w:asciiTheme="minorHAnsi" w:eastAsiaTheme="minorEastAsia" w:hAnsiTheme="minorHAnsi" w:cstheme="minorBidi"/>
                <w:szCs w:val="20"/>
                <w:lang w:val="sq-AL"/>
              </w:rPr>
              <w:t>ë</w:t>
            </w:r>
            <w:r w:rsidR="00CD4486">
              <w:rPr>
                <w:rFonts w:asciiTheme="minorHAnsi" w:eastAsiaTheme="minorEastAsia" w:hAnsiTheme="minorHAnsi" w:cstheme="minorBidi"/>
                <w:szCs w:val="20"/>
                <w:lang w:val="sq-AL"/>
              </w:rPr>
              <w:t xml:space="preserve"> se a do t</w:t>
            </w:r>
            <w:r w:rsidR="006822F7">
              <w:rPr>
                <w:rFonts w:asciiTheme="minorHAnsi" w:eastAsiaTheme="minorEastAsia" w:hAnsiTheme="minorHAnsi" w:cstheme="minorBidi"/>
                <w:szCs w:val="20"/>
                <w:lang w:val="sq-AL"/>
              </w:rPr>
              <w:t>ë</w:t>
            </w:r>
            <w:r w:rsidR="00CD4486">
              <w:rPr>
                <w:rFonts w:asciiTheme="minorHAnsi" w:eastAsiaTheme="minorEastAsia" w:hAnsiTheme="minorHAnsi" w:cstheme="minorBidi"/>
                <w:szCs w:val="20"/>
                <w:lang w:val="sq-AL"/>
              </w:rPr>
              <w:t xml:space="preserve"> zbatohen veprimet e reformave</w:t>
            </w:r>
            <w:r w:rsidR="00C6749E" w:rsidRPr="009A66BD">
              <w:rPr>
                <w:rFonts w:asciiTheme="minorHAnsi" w:eastAsiaTheme="minorEastAsia" w:hAnsiTheme="minorHAnsi" w:cstheme="minorBidi"/>
                <w:szCs w:val="20"/>
                <w:lang w:val="sq-AL"/>
              </w:rPr>
              <w:t>.</w:t>
            </w:r>
          </w:p>
        </w:tc>
        <w:tc>
          <w:tcPr>
            <w:tcW w:w="1800" w:type="dxa"/>
          </w:tcPr>
          <w:p w14:paraId="40C0F4EA" w14:textId="01C4D34C" w:rsidR="00C6749E" w:rsidRPr="009A66BD" w:rsidRDefault="00033CB2"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Për t'u vendosur</w:t>
            </w:r>
          </w:p>
        </w:tc>
        <w:tc>
          <w:tcPr>
            <w:tcW w:w="3960" w:type="dxa"/>
          </w:tcPr>
          <w:p w14:paraId="6AA4C692" w14:textId="434E7B55" w:rsidR="00C6749E" w:rsidRPr="009A66BD" w:rsidRDefault="007B48D9" w:rsidP="00CD448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20"/>
                <w:lang w:val="sq-AL"/>
              </w:rPr>
              <w:t xml:space="preserve">Pas vendimit, autoritetet e Kosovës* do të përditësojnë këtë </w:t>
            </w:r>
            <w:r w:rsidR="00CD4486">
              <w:rPr>
                <w:rFonts w:asciiTheme="minorHAnsi" w:eastAsiaTheme="minorEastAsia" w:hAnsiTheme="minorHAnsi" w:cstheme="minorBidi"/>
                <w:i/>
                <w:szCs w:val="20"/>
                <w:lang w:val="sq-AL"/>
              </w:rPr>
              <w:t xml:space="preserve">seksion </w:t>
            </w:r>
            <w:r w:rsidRPr="009A66BD">
              <w:rPr>
                <w:rFonts w:asciiTheme="minorHAnsi" w:eastAsiaTheme="minorEastAsia" w:hAnsiTheme="minorHAnsi" w:cstheme="minorBidi"/>
                <w:i/>
                <w:szCs w:val="20"/>
                <w:lang w:val="sq-AL"/>
              </w:rPr>
              <w:t xml:space="preserve">të </w:t>
            </w:r>
            <w:r w:rsidR="00BE5208" w:rsidRPr="009A66BD">
              <w:rPr>
                <w:rFonts w:asciiTheme="minorHAnsi" w:eastAsiaTheme="minorEastAsia" w:hAnsiTheme="minorHAnsi" w:cstheme="minorBidi"/>
                <w:i/>
                <w:szCs w:val="20"/>
                <w:lang w:val="sq-AL"/>
              </w:rPr>
              <w:t>PVRI</w:t>
            </w:r>
            <w:r w:rsidRPr="009A66BD">
              <w:rPr>
                <w:rFonts w:asciiTheme="minorHAnsi" w:eastAsiaTheme="minorEastAsia" w:hAnsiTheme="minorHAnsi" w:cstheme="minorBidi"/>
                <w:i/>
                <w:szCs w:val="20"/>
                <w:lang w:val="sq-AL"/>
              </w:rPr>
              <w:t xml:space="preserve">-së në </w:t>
            </w:r>
            <w:r w:rsidR="00CD4486">
              <w:rPr>
                <w:rFonts w:asciiTheme="minorHAnsi" w:eastAsiaTheme="minorEastAsia" w:hAnsiTheme="minorHAnsi" w:cstheme="minorBidi"/>
                <w:i/>
                <w:szCs w:val="20"/>
                <w:lang w:val="sq-AL"/>
              </w:rPr>
              <w:t>m</w:t>
            </w:r>
            <w:r w:rsidR="006822F7">
              <w:rPr>
                <w:rFonts w:asciiTheme="minorHAnsi" w:eastAsiaTheme="minorEastAsia" w:hAnsiTheme="minorHAnsi" w:cstheme="minorBidi"/>
                <w:i/>
                <w:szCs w:val="20"/>
                <w:lang w:val="sq-AL"/>
              </w:rPr>
              <w:t>ë</w:t>
            </w:r>
            <w:r w:rsidR="00CD4486">
              <w:rPr>
                <w:rFonts w:asciiTheme="minorHAnsi" w:eastAsiaTheme="minorEastAsia" w:hAnsiTheme="minorHAnsi" w:cstheme="minorBidi"/>
                <w:i/>
                <w:szCs w:val="20"/>
                <w:lang w:val="sq-AL"/>
              </w:rPr>
              <w:t>nyr</w:t>
            </w:r>
            <w:r w:rsidR="006822F7">
              <w:rPr>
                <w:rFonts w:asciiTheme="minorHAnsi" w:eastAsiaTheme="minorEastAsia" w:hAnsiTheme="minorHAnsi" w:cstheme="minorBidi"/>
                <w:i/>
                <w:szCs w:val="20"/>
                <w:lang w:val="sq-AL"/>
              </w:rPr>
              <w:t>ë</w:t>
            </w:r>
            <w:r w:rsidR="00CD4486">
              <w:rPr>
                <w:rFonts w:asciiTheme="minorHAnsi" w:eastAsiaTheme="minorEastAsia" w:hAnsiTheme="minorHAnsi" w:cstheme="minorBidi"/>
                <w:i/>
                <w:szCs w:val="20"/>
                <w:lang w:val="sq-AL"/>
              </w:rPr>
              <w:t xml:space="preserve"> p</w:t>
            </w:r>
            <w:r w:rsidR="006822F7">
              <w:rPr>
                <w:rFonts w:asciiTheme="minorHAnsi" w:eastAsiaTheme="minorEastAsia" w:hAnsiTheme="minorHAnsi" w:cstheme="minorBidi"/>
                <w:i/>
                <w:szCs w:val="20"/>
                <w:lang w:val="sq-AL"/>
              </w:rPr>
              <w:t>ë</w:t>
            </w:r>
            <w:r w:rsidR="00CD4486">
              <w:rPr>
                <w:rFonts w:asciiTheme="minorHAnsi" w:eastAsiaTheme="minorEastAsia" w:hAnsiTheme="minorHAnsi" w:cstheme="minorBidi"/>
                <w:i/>
                <w:szCs w:val="20"/>
                <w:lang w:val="sq-AL"/>
              </w:rPr>
              <w:t>rkat</w:t>
            </w:r>
            <w:r w:rsidR="006822F7">
              <w:rPr>
                <w:rFonts w:asciiTheme="minorHAnsi" w:eastAsiaTheme="minorEastAsia" w:hAnsiTheme="minorHAnsi" w:cstheme="minorBidi"/>
                <w:i/>
                <w:szCs w:val="20"/>
                <w:lang w:val="sq-AL"/>
              </w:rPr>
              <w:t>ë</w:t>
            </w:r>
            <w:r w:rsidR="00CD4486">
              <w:rPr>
                <w:rFonts w:asciiTheme="minorHAnsi" w:eastAsiaTheme="minorEastAsia" w:hAnsiTheme="minorHAnsi" w:cstheme="minorBidi"/>
                <w:i/>
                <w:szCs w:val="20"/>
                <w:lang w:val="sq-AL"/>
              </w:rPr>
              <w:t xml:space="preserve">se </w:t>
            </w:r>
            <w:r w:rsidRPr="009A66BD">
              <w:rPr>
                <w:rFonts w:asciiTheme="minorHAnsi" w:eastAsiaTheme="minorEastAsia" w:hAnsiTheme="minorHAnsi" w:cstheme="minorBidi"/>
                <w:i/>
                <w:szCs w:val="20"/>
                <w:lang w:val="sq-AL"/>
              </w:rPr>
              <w:t xml:space="preserve">dhe do të specifikojnë / përshkruajnë më tej çdo përpjekje reformash që Qeveria synon të ndërmarrë sipas </w:t>
            </w:r>
            <w:r w:rsidR="004C0ACD" w:rsidRPr="009A66BD">
              <w:rPr>
                <w:rFonts w:asciiTheme="minorHAnsi" w:eastAsiaTheme="minorEastAsia" w:hAnsiTheme="minorHAnsi" w:cstheme="minorBidi"/>
                <w:i/>
                <w:szCs w:val="20"/>
                <w:lang w:val="sq-AL"/>
              </w:rPr>
              <w:t>pikës</w:t>
            </w:r>
            <w:r w:rsidRPr="009A66BD">
              <w:rPr>
                <w:rFonts w:asciiTheme="minorHAnsi" w:eastAsiaTheme="minorEastAsia" w:hAnsiTheme="minorHAnsi" w:cstheme="minorBidi"/>
                <w:i/>
                <w:szCs w:val="20"/>
                <w:lang w:val="sq-AL"/>
              </w:rPr>
              <w:t xml:space="preserve"> 1.2.1 të </w:t>
            </w:r>
            <w:r w:rsidR="00BE5208" w:rsidRPr="009A66BD">
              <w:rPr>
                <w:rFonts w:asciiTheme="minorHAnsi" w:eastAsiaTheme="minorEastAsia" w:hAnsiTheme="minorHAnsi" w:cstheme="minorBidi"/>
                <w:i/>
                <w:szCs w:val="20"/>
                <w:lang w:val="sq-AL"/>
              </w:rPr>
              <w:t>PVRI</w:t>
            </w:r>
            <w:r w:rsidRPr="009A66BD">
              <w:rPr>
                <w:rFonts w:asciiTheme="minorHAnsi" w:eastAsiaTheme="minorEastAsia" w:hAnsiTheme="minorHAnsi" w:cstheme="minorBidi"/>
                <w:i/>
                <w:szCs w:val="20"/>
                <w:lang w:val="sq-AL"/>
              </w:rPr>
              <w:t>-së</w:t>
            </w:r>
            <w:r w:rsidR="00C6749E" w:rsidRPr="009A66BD">
              <w:rPr>
                <w:rFonts w:asciiTheme="minorHAnsi" w:eastAsiaTheme="minorEastAsia" w:hAnsiTheme="minorHAnsi" w:cstheme="minorBidi"/>
                <w:i/>
                <w:szCs w:val="20"/>
                <w:lang w:val="sq-AL"/>
              </w:rPr>
              <w:t>.</w:t>
            </w:r>
          </w:p>
        </w:tc>
      </w:tr>
      <w:tr w:rsidR="00027B33" w:rsidRPr="009A66BD" w14:paraId="4A7680BB" w14:textId="160F63CE" w:rsidTr="00404CDD">
        <w:trPr>
          <w:trHeight w:val="496"/>
        </w:trPr>
        <w:tc>
          <w:tcPr>
            <w:tcW w:w="14845" w:type="dxa"/>
            <w:gridSpan w:val="7"/>
            <w:vAlign w:val="center"/>
          </w:tcPr>
          <w:p w14:paraId="7E645975" w14:textId="7165D339" w:rsidR="00027B33" w:rsidRPr="009A66BD" w:rsidRDefault="00027B33" w:rsidP="00027B33">
            <w:pPr>
              <w:spacing w:after="160" w:line="259" w:lineRule="auto"/>
              <w:ind w:firstLine="0"/>
              <w:jc w:val="left"/>
              <w:rPr>
                <w:rFonts w:asciiTheme="minorHAnsi" w:eastAsiaTheme="minorEastAsia" w:hAnsiTheme="minorHAnsi" w:cstheme="minorHAnsi"/>
                <w:i/>
                <w:iCs/>
                <w:color w:val="000000" w:themeColor="text1"/>
                <w:szCs w:val="20"/>
                <w:lang w:val="sq-AL"/>
              </w:rPr>
            </w:pPr>
            <w:r w:rsidRPr="009A66BD">
              <w:rPr>
                <w:rFonts w:asciiTheme="minorHAnsi" w:eastAsiaTheme="minorEastAsia" w:hAnsiTheme="minorHAnsi" w:cstheme="minorHAnsi"/>
                <w:i/>
                <w:iCs/>
                <w:color w:val="000000" w:themeColor="text1"/>
                <w:szCs w:val="20"/>
                <w:lang w:val="sq-AL"/>
              </w:rPr>
              <w:t xml:space="preserve">2. </w:t>
            </w:r>
            <w:r w:rsidR="00777769" w:rsidRPr="009A66BD">
              <w:rPr>
                <w:rFonts w:asciiTheme="minorHAnsi" w:eastAsiaTheme="minorEastAsia" w:hAnsiTheme="minorHAnsi" w:cstheme="minorHAnsi"/>
                <w:i/>
                <w:iCs/>
                <w:color w:val="000000" w:themeColor="text1"/>
                <w:szCs w:val="20"/>
                <w:lang w:val="sq-AL"/>
              </w:rPr>
              <w:t>Përmirësimi i politikave dhe procedurave të themelimit të biznesit</w:t>
            </w:r>
          </w:p>
        </w:tc>
      </w:tr>
      <w:tr w:rsidR="00027B33" w:rsidRPr="009A66BD" w14:paraId="1494811A" w14:textId="478E6083" w:rsidTr="00B33697">
        <w:trPr>
          <w:cnfStyle w:val="000000100000" w:firstRow="0" w:lastRow="0" w:firstColumn="0" w:lastColumn="0" w:oddVBand="0" w:evenVBand="0" w:oddHBand="1" w:evenHBand="0" w:firstRowFirstColumn="0" w:firstRowLastColumn="0" w:lastRowFirstColumn="0" w:lastRowLastColumn="0"/>
          <w:trHeight w:val="666"/>
        </w:trPr>
        <w:tc>
          <w:tcPr>
            <w:tcW w:w="2335" w:type="dxa"/>
            <w:vMerge w:val="restart"/>
          </w:tcPr>
          <w:p w14:paraId="3F356F5C" w14:textId="5E5D514B" w:rsidR="00027B33" w:rsidRPr="009A66BD" w:rsidRDefault="00027B33" w:rsidP="00CD4486">
            <w:pPr>
              <w:spacing w:after="120" w:line="240" w:lineRule="auto"/>
              <w:ind w:firstLine="0"/>
              <w:jc w:val="left"/>
              <w:rPr>
                <w:rFonts w:asciiTheme="majorHAnsi" w:eastAsiaTheme="minorEastAsia" w:hAnsiTheme="majorHAnsi" w:cstheme="majorHAnsi"/>
                <w:i/>
                <w:iCs/>
                <w:szCs w:val="20"/>
                <w:lang w:val="sq-AL"/>
              </w:rPr>
            </w:pPr>
            <w:r w:rsidRPr="009A66BD">
              <w:rPr>
                <w:rFonts w:asciiTheme="majorHAnsi" w:eastAsiaTheme="minorEastAsia" w:hAnsiTheme="majorHAnsi" w:cstheme="majorHAnsi"/>
                <w:i/>
                <w:iCs/>
                <w:szCs w:val="20"/>
                <w:lang w:val="sq-AL"/>
              </w:rPr>
              <w:t xml:space="preserve">2.1 </w:t>
            </w:r>
            <w:r w:rsidR="006F3764" w:rsidRPr="009A66BD">
              <w:rPr>
                <w:rFonts w:asciiTheme="majorHAnsi" w:eastAsiaTheme="minorEastAsia" w:hAnsiTheme="majorHAnsi" w:cstheme="majorHAnsi"/>
                <w:i/>
                <w:iCs/>
                <w:szCs w:val="20"/>
                <w:lang w:val="sq-AL"/>
              </w:rPr>
              <w:t xml:space="preserve">Mbështetja e zhvillimit e një portali biznesi për </w:t>
            </w:r>
            <w:proofErr w:type="spellStart"/>
            <w:r w:rsidR="006F3764" w:rsidRPr="009A66BD">
              <w:rPr>
                <w:rFonts w:asciiTheme="majorHAnsi" w:eastAsiaTheme="minorEastAsia" w:hAnsiTheme="majorHAnsi" w:cstheme="majorHAnsi"/>
                <w:i/>
                <w:iCs/>
                <w:szCs w:val="20"/>
                <w:lang w:val="sq-AL"/>
              </w:rPr>
              <w:t>katalogim</w:t>
            </w:r>
            <w:proofErr w:type="spellEnd"/>
            <w:r w:rsidR="006F3764" w:rsidRPr="009A66BD">
              <w:rPr>
                <w:rFonts w:asciiTheme="majorHAnsi" w:eastAsiaTheme="minorEastAsia" w:hAnsiTheme="majorHAnsi" w:cstheme="majorHAnsi"/>
                <w:i/>
                <w:iCs/>
                <w:szCs w:val="20"/>
                <w:lang w:val="sq-AL"/>
              </w:rPr>
              <w:t xml:space="preserve">, ofrim dhe krahasim të informacionit mbi procedurat për </w:t>
            </w:r>
            <w:r w:rsidR="00CD4486">
              <w:rPr>
                <w:rFonts w:asciiTheme="majorHAnsi" w:eastAsiaTheme="minorEastAsia" w:hAnsiTheme="majorHAnsi" w:cstheme="majorHAnsi"/>
                <w:i/>
                <w:iCs/>
                <w:szCs w:val="20"/>
                <w:lang w:val="sq-AL"/>
              </w:rPr>
              <w:t xml:space="preserve">themelimin dhe operimin </w:t>
            </w:r>
            <w:r w:rsidR="006F3764" w:rsidRPr="009A66BD">
              <w:rPr>
                <w:rFonts w:asciiTheme="majorHAnsi" w:eastAsiaTheme="minorEastAsia" w:hAnsiTheme="majorHAnsi" w:cstheme="majorHAnsi"/>
                <w:i/>
                <w:iCs/>
                <w:szCs w:val="20"/>
                <w:lang w:val="sq-AL"/>
              </w:rPr>
              <w:t xml:space="preserve">e një biznesi në rajon duke u bazuar në bashkëpunimin e filluar dhe </w:t>
            </w:r>
            <w:r w:rsidR="006D358B" w:rsidRPr="009A66BD">
              <w:rPr>
                <w:rFonts w:asciiTheme="majorHAnsi" w:eastAsiaTheme="minorEastAsia" w:hAnsiTheme="majorHAnsi" w:cstheme="majorHAnsi"/>
                <w:i/>
                <w:iCs/>
                <w:szCs w:val="20"/>
                <w:lang w:val="sq-AL"/>
              </w:rPr>
              <w:t>tashmë</w:t>
            </w:r>
            <w:r w:rsidR="006F3764" w:rsidRPr="009A66BD">
              <w:rPr>
                <w:rFonts w:asciiTheme="majorHAnsi" w:eastAsiaTheme="minorEastAsia" w:hAnsiTheme="majorHAnsi" w:cstheme="majorHAnsi"/>
                <w:i/>
                <w:iCs/>
                <w:szCs w:val="20"/>
                <w:lang w:val="sq-AL"/>
              </w:rPr>
              <w:t xml:space="preserve"> ekzistues të agjencive të regjistrimit të </w:t>
            </w:r>
            <w:r w:rsidR="00705595" w:rsidRPr="009A66BD">
              <w:rPr>
                <w:rFonts w:asciiTheme="majorHAnsi" w:eastAsiaTheme="minorEastAsia" w:hAnsiTheme="majorHAnsi" w:cstheme="majorHAnsi"/>
                <w:i/>
                <w:iCs/>
                <w:szCs w:val="20"/>
                <w:lang w:val="sq-AL"/>
              </w:rPr>
              <w:t>bizneseve</w:t>
            </w:r>
            <w:r w:rsidR="006F3764" w:rsidRPr="009A66BD">
              <w:rPr>
                <w:rFonts w:asciiTheme="majorHAnsi" w:eastAsiaTheme="minorEastAsia" w:hAnsiTheme="majorHAnsi" w:cstheme="majorHAnsi"/>
                <w:i/>
                <w:iCs/>
                <w:szCs w:val="20"/>
                <w:lang w:val="sq-AL"/>
              </w:rPr>
              <w:t xml:space="preserve"> të rajonit</w:t>
            </w:r>
            <w:r w:rsidRPr="009A66BD">
              <w:rPr>
                <w:rFonts w:asciiTheme="majorHAnsi" w:eastAsiaTheme="minorEastAsia" w:hAnsiTheme="majorHAnsi" w:cstheme="majorHAnsi"/>
                <w:i/>
                <w:iCs/>
                <w:szCs w:val="20"/>
                <w:lang w:val="sq-AL"/>
              </w:rPr>
              <w:t>.</w:t>
            </w:r>
          </w:p>
        </w:tc>
        <w:tc>
          <w:tcPr>
            <w:tcW w:w="2610" w:type="dxa"/>
          </w:tcPr>
          <w:p w14:paraId="7FFDE5B3" w14:textId="36D24A63" w:rsidR="00027B33" w:rsidRPr="009A66BD" w:rsidRDefault="00027B33" w:rsidP="005C4B5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2.1.1. </w:t>
            </w:r>
            <w:r w:rsidR="00312EC9" w:rsidRPr="009A66BD">
              <w:rPr>
                <w:rFonts w:asciiTheme="minorHAnsi" w:eastAsiaTheme="minorEastAsia" w:hAnsiTheme="minorHAnsi" w:cstheme="minorBidi"/>
                <w:szCs w:val="20"/>
                <w:lang w:val="sq-AL"/>
              </w:rPr>
              <w:t>Plotësimi i informacioneve ekzistues</w:t>
            </w:r>
            <w:r w:rsidR="004F16A8">
              <w:rPr>
                <w:rFonts w:asciiTheme="minorHAnsi" w:eastAsiaTheme="minorEastAsia" w:hAnsiTheme="minorHAnsi" w:cstheme="minorBidi"/>
                <w:szCs w:val="20"/>
                <w:lang w:val="sq-AL"/>
              </w:rPr>
              <w:t>e</w:t>
            </w:r>
            <w:r w:rsidR="00312EC9" w:rsidRPr="009A66BD">
              <w:rPr>
                <w:rFonts w:asciiTheme="minorHAnsi" w:eastAsiaTheme="minorEastAsia" w:hAnsiTheme="minorHAnsi" w:cstheme="minorBidi"/>
                <w:szCs w:val="20"/>
                <w:lang w:val="sq-AL"/>
              </w:rPr>
              <w:t xml:space="preserve"> në lidhje me procedurat e themelimit të biznesit në portalin informativ rajonal të biznesit "</w:t>
            </w:r>
            <w:proofErr w:type="spellStart"/>
            <w:r w:rsidR="00312EC9" w:rsidRPr="009A66BD">
              <w:rPr>
                <w:rFonts w:asciiTheme="minorHAnsi" w:eastAsiaTheme="minorEastAsia" w:hAnsiTheme="minorHAnsi" w:cstheme="minorBidi"/>
                <w:szCs w:val="20"/>
                <w:lang w:val="sq-AL"/>
              </w:rPr>
              <w:t>Invest</w:t>
            </w:r>
            <w:proofErr w:type="spellEnd"/>
            <w:r w:rsidR="00312EC9" w:rsidRPr="009A66BD">
              <w:rPr>
                <w:rFonts w:asciiTheme="minorHAnsi" w:eastAsiaTheme="minorEastAsia" w:hAnsiTheme="minorHAnsi" w:cstheme="minorBidi"/>
                <w:szCs w:val="20"/>
                <w:lang w:val="sq-AL"/>
              </w:rPr>
              <w:t xml:space="preserve"> in SEE</w:t>
            </w:r>
            <w:r w:rsidR="00D712AC" w:rsidRPr="009A66BD">
              <w:rPr>
                <w:rStyle w:val="FootnoteReference"/>
                <w:rFonts w:asciiTheme="minorHAnsi" w:eastAsiaTheme="minorEastAsia" w:hAnsiTheme="minorHAnsi" w:cstheme="minorBidi"/>
                <w:szCs w:val="20"/>
                <w:lang w:val="sq-AL"/>
              </w:rPr>
              <w:footnoteReference w:id="3"/>
            </w:r>
            <w:r w:rsidR="00312EC9" w:rsidRPr="009A66BD">
              <w:rPr>
                <w:rFonts w:asciiTheme="minorHAnsi" w:eastAsiaTheme="minorEastAsia" w:hAnsiTheme="minorHAnsi" w:cstheme="minorBidi"/>
                <w:szCs w:val="20"/>
                <w:lang w:val="sq-AL"/>
              </w:rPr>
              <w:t>"</w:t>
            </w:r>
            <w:r w:rsidR="004F16A8">
              <w:rPr>
                <w:rFonts w:asciiTheme="minorHAnsi" w:eastAsiaTheme="minorEastAsia" w:hAnsiTheme="minorHAnsi" w:cstheme="minorBidi"/>
                <w:szCs w:val="20"/>
                <w:lang w:val="sq-AL"/>
              </w:rPr>
              <w:t xml:space="preserve"> (Investoni n</w:t>
            </w:r>
            <w:r w:rsidR="006822F7">
              <w:rPr>
                <w:rFonts w:asciiTheme="minorHAnsi" w:eastAsiaTheme="minorEastAsia" w:hAnsiTheme="minorHAnsi" w:cstheme="minorBidi"/>
                <w:szCs w:val="20"/>
                <w:lang w:val="sq-AL"/>
              </w:rPr>
              <w:t>ë</w:t>
            </w:r>
            <w:r w:rsidR="004F16A8">
              <w:rPr>
                <w:rFonts w:asciiTheme="minorHAnsi" w:eastAsiaTheme="minorEastAsia" w:hAnsiTheme="minorHAnsi" w:cstheme="minorBidi"/>
                <w:szCs w:val="20"/>
                <w:lang w:val="sq-AL"/>
              </w:rPr>
              <w:t xml:space="preserve"> EJL</w:t>
            </w:r>
            <w:r w:rsidR="005C4B53">
              <w:rPr>
                <w:rFonts w:asciiTheme="minorHAnsi" w:eastAsiaTheme="minorEastAsia" w:hAnsiTheme="minorHAnsi" w:cstheme="minorBidi"/>
                <w:szCs w:val="20"/>
                <w:lang w:val="sq-AL"/>
              </w:rPr>
              <w:t xml:space="preserve">) </w:t>
            </w:r>
            <w:r w:rsidR="00312EC9" w:rsidRPr="009A66BD">
              <w:rPr>
                <w:rFonts w:asciiTheme="minorHAnsi" w:eastAsiaTheme="minorEastAsia" w:hAnsiTheme="minorHAnsi" w:cstheme="minorBidi"/>
                <w:szCs w:val="20"/>
                <w:lang w:val="sq-AL"/>
              </w:rPr>
              <w:t xml:space="preserve">organizuar nga </w:t>
            </w:r>
            <w:r w:rsidR="00976EAB" w:rsidRPr="009A66BD">
              <w:rPr>
                <w:rFonts w:asciiTheme="minorHAnsi" w:eastAsiaTheme="minorEastAsia" w:hAnsiTheme="minorHAnsi" w:cstheme="minorBidi"/>
                <w:szCs w:val="20"/>
                <w:lang w:val="sq-AL"/>
              </w:rPr>
              <w:t xml:space="preserve">Forumi </w:t>
            </w:r>
            <w:r w:rsidR="004F16A8">
              <w:rPr>
                <w:rFonts w:asciiTheme="minorHAnsi" w:eastAsiaTheme="minorEastAsia" w:hAnsiTheme="minorHAnsi" w:cstheme="minorBidi"/>
                <w:szCs w:val="20"/>
                <w:lang w:val="sq-AL"/>
              </w:rPr>
              <w:t>i Investimeve t</w:t>
            </w:r>
            <w:r w:rsidR="006822F7">
              <w:rPr>
                <w:rFonts w:asciiTheme="minorHAnsi" w:eastAsiaTheme="minorEastAsia" w:hAnsiTheme="minorHAnsi" w:cstheme="minorBidi"/>
                <w:szCs w:val="20"/>
                <w:lang w:val="sq-AL"/>
              </w:rPr>
              <w:t>ë</w:t>
            </w:r>
            <w:r w:rsidR="004F16A8">
              <w:rPr>
                <w:rFonts w:asciiTheme="minorHAnsi" w:eastAsiaTheme="minorEastAsia" w:hAnsiTheme="minorHAnsi" w:cstheme="minorBidi"/>
                <w:szCs w:val="20"/>
                <w:lang w:val="sq-AL"/>
              </w:rPr>
              <w:t xml:space="preserve"> Odave Ekonomike,</w:t>
            </w:r>
            <w:r w:rsidR="00976EAB" w:rsidRPr="009A66BD">
              <w:rPr>
                <w:rFonts w:asciiTheme="minorHAnsi" w:eastAsiaTheme="minorEastAsia" w:hAnsiTheme="minorHAnsi" w:cstheme="minorBidi"/>
                <w:szCs w:val="20"/>
                <w:lang w:val="sq-AL"/>
              </w:rPr>
              <w:t xml:space="preserve"> </w:t>
            </w:r>
            <w:r w:rsidR="00312EC9" w:rsidRPr="009A66BD">
              <w:rPr>
                <w:rFonts w:asciiTheme="minorHAnsi" w:eastAsiaTheme="minorEastAsia" w:hAnsiTheme="minorHAnsi" w:cstheme="minorBidi"/>
                <w:szCs w:val="20"/>
                <w:lang w:val="sq-AL"/>
              </w:rPr>
              <w:t xml:space="preserve">duke </w:t>
            </w:r>
            <w:proofErr w:type="spellStart"/>
            <w:r w:rsidR="00312EC9" w:rsidRPr="009A66BD">
              <w:rPr>
                <w:rFonts w:asciiTheme="minorHAnsi" w:eastAsiaTheme="minorEastAsia" w:hAnsiTheme="minorHAnsi" w:cstheme="minorBidi"/>
                <w:szCs w:val="20"/>
                <w:lang w:val="sq-AL"/>
              </w:rPr>
              <w:t>hartëzuar</w:t>
            </w:r>
            <w:proofErr w:type="spellEnd"/>
            <w:r w:rsidR="00312EC9" w:rsidRPr="009A66BD">
              <w:rPr>
                <w:rFonts w:asciiTheme="minorHAnsi" w:eastAsiaTheme="minorEastAsia" w:hAnsiTheme="minorHAnsi" w:cstheme="minorBidi"/>
                <w:szCs w:val="20"/>
                <w:lang w:val="sq-AL"/>
              </w:rPr>
              <w:t xml:space="preserve"> procedurat për </w:t>
            </w:r>
            <w:r w:rsidR="004F16A8">
              <w:rPr>
                <w:rFonts w:asciiTheme="minorHAnsi" w:eastAsiaTheme="minorEastAsia" w:hAnsiTheme="minorHAnsi" w:cstheme="minorBidi"/>
                <w:szCs w:val="20"/>
                <w:lang w:val="sq-AL"/>
              </w:rPr>
              <w:t xml:space="preserve">themelimin dhe operimin </w:t>
            </w:r>
            <w:r w:rsidR="00312EC9" w:rsidRPr="009A66BD">
              <w:rPr>
                <w:rFonts w:asciiTheme="minorHAnsi" w:eastAsiaTheme="minorEastAsia" w:hAnsiTheme="minorHAnsi" w:cstheme="minorBidi"/>
                <w:szCs w:val="20"/>
                <w:lang w:val="sq-AL"/>
              </w:rPr>
              <w:t>e një biznesi në Kosovë * dhe duke ofruar raportin  rezultues</w:t>
            </w:r>
            <w:r w:rsidRPr="009A66BD">
              <w:rPr>
                <w:rFonts w:asciiTheme="minorHAnsi" w:eastAsiaTheme="minorEastAsia" w:hAnsiTheme="minorHAnsi" w:cstheme="minorBidi"/>
                <w:szCs w:val="20"/>
                <w:lang w:val="sq-AL"/>
              </w:rPr>
              <w:t>.</w:t>
            </w:r>
          </w:p>
        </w:tc>
        <w:tc>
          <w:tcPr>
            <w:tcW w:w="900" w:type="dxa"/>
          </w:tcPr>
          <w:p w14:paraId="424F6DD6" w14:textId="1906DE58" w:rsidR="00027B33" w:rsidRPr="009A66BD" w:rsidRDefault="00DA335F" w:rsidP="00027B33">
            <w:pPr>
              <w:spacing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Qershor</w:t>
            </w:r>
          </w:p>
          <w:p w14:paraId="4A61F698" w14:textId="348B63F2" w:rsidR="00027B33" w:rsidRPr="009A66BD" w:rsidRDefault="00027B33" w:rsidP="00027B33">
            <w:pPr>
              <w:spacing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2019</w:t>
            </w:r>
          </w:p>
        </w:tc>
        <w:tc>
          <w:tcPr>
            <w:tcW w:w="1260" w:type="dxa"/>
          </w:tcPr>
          <w:p w14:paraId="2B3DF4B8" w14:textId="0A4339B4" w:rsidR="00027B33" w:rsidRPr="009A66BD" w:rsidRDefault="002702AF" w:rsidP="00027B3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 xml:space="preserve">Agjencia për Investime dhe Përkrahjen e Ndërmarrjeve në Kosovë </w:t>
            </w:r>
            <w:r w:rsidR="00027B33" w:rsidRPr="009A66BD">
              <w:rPr>
                <w:rFonts w:asciiTheme="minorHAnsi" w:eastAsiaTheme="minorEastAsia" w:hAnsiTheme="minorHAnsi" w:cstheme="minorHAnsi"/>
                <w:szCs w:val="20"/>
                <w:lang w:val="sq-AL"/>
              </w:rPr>
              <w:t>(KIESA)</w:t>
            </w:r>
            <w:r w:rsidR="0020084D" w:rsidRPr="009A66BD">
              <w:rPr>
                <w:rStyle w:val="FootnoteReference"/>
                <w:rFonts w:asciiTheme="minorHAnsi" w:eastAsiaTheme="minorEastAsia" w:hAnsiTheme="minorHAnsi" w:cstheme="minorHAnsi"/>
                <w:szCs w:val="20"/>
                <w:lang w:val="sq-AL"/>
              </w:rPr>
              <w:footnoteReference w:customMarkFollows="1" w:id="4"/>
              <w:sym w:font="Symbol" w:char="F02A"/>
            </w:r>
            <w:r w:rsidR="00772800" w:rsidRPr="009A66BD">
              <w:rPr>
                <w:rFonts w:asciiTheme="minorHAnsi" w:eastAsiaTheme="minorEastAsia" w:hAnsiTheme="minorHAnsi" w:cstheme="minorHAnsi"/>
                <w:szCs w:val="20"/>
                <w:lang w:val="sq-AL"/>
              </w:rPr>
              <w:t xml:space="preserve"> / CIF</w:t>
            </w:r>
          </w:p>
        </w:tc>
        <w:tc>
          <w:tcPr>
            <w:tcW w:w="1980" w:type="dxa"/>
          </w:tcPr>
          <w:p w14:paraId="02E205F9" w14:textId="12AD351B" w:rsidR="00027B33" w:rsidRPr="009A66BD" w:rsidRDefault="006D358B" w:rsidP="004F16A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Një raport që liston dhe detajon </w:t>
            </w:r>
            <w:r w:rsidR="004F16A8">
              <w:rPr>
                <w:rFonts w:asciiTheme="minorHAnsi" w:eastAsiaTheme="minorEastAsia" w:hAnsiTheme="minorHAnsi" w:cstheme="minorBidi"/>
                <w:szCs w:val="20"/>
                <w:lang w:val="sq-AL"/>
              </w:rPr>
              <w:t>procedurat e themelimit dhe operimit t</w:t>
            </w:r>
            <w:r w:rsidR="006822F7">
              <w:rPr>
                <w:rFonts w:asciiTheme="minorHAnsi" w:eastAsiaTheme="minorEastAsia" w:hAnsiTheme="minorHAnsi" w:cstheme="minorBidi"/>
                <w:szCs w:val="20"/>
                <w:lang w:val="sq-AL"/>
              </w:rPr>
              <w:t>ë</w:t>
            </w:r>
            <w:r w:rsidR="004F16A8">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 xml:space="preserve">bizneseve në Kosovë * </w:t>
            </w:r>
            <w:r w:rsidR="004F16A8">
              <w:rPr>
                <w:rFonts w:asciiTheme="minorHAnsi" w:eastAsiaTheme="minorEastAsia" w:hAnsiTheme="minorHAnsi" w:cstheme="minorBidi"/>
                <w:szCs w:val="20"/>
                <w:lang w:val="sq-AL"/>
              </w:rPr>
              <w:t>,</w:t>
            </w:r>
            <w:r w:rsidRPr="009A66BD">
              <w:rPr>
                <w:rFonts w:asciiTheme="minorHAnsi" w:eastAsiaTheme="minorEastAsia" w:hAnsiTheme="minorHAnsi" w:cstheme="minorBidi"/>
                <w:szCs w:val="20"/>
                <w:lang w:val="sq-AL"/>
              </w:rPr>
              <w:t xml:space="preserve">që </w:t>
            </w:r>
            <w:r w:rsidR="004F16A8">
              <w:rPr>
                <w:rFonts w:asciiTheme="minorHAnsi" w:eastAsiaTheme="minorEastAsia" w:hAnsiTheme="minorHAnsi" w:cstheme="minorBidi"/>
                <w:szCs w:val="20"/>
                <w:lang w:val="sq-AL"/>
              </w:rPr>
              <w:t xml:space="preserve">do </w:t>
            </w:r>
            <w:r w:rsidRPr="009A66BD">
              <w:rPr>
                <w:rFonts w:asciiTheme="minorHAnsi" w:eastAsiaTheme="minorEastAsia" w:hAnsiTheme="minorHAnsi" w:cstheme="minorBidi"/>
                <w:szCs w:val="20"/>
                <w:lang w:val="sq-AL"/>
              </w:rPr>
              <w:t>të përfshihet në portalin “</w:t>
            </w:r>
            <w:proofErr w:type="spellStart"/>
            <w:r w:rsidRPr="009A66BD">
              <w:rPr>
                <w:rFonts w:asciiTheme="minorHAnsi" w:eastAsiaTheme="minorEastAsia" w:hAnsiTheme="minorHAnsi" w:cstheme="minorBidi"/>
                <w:szCs w:val="20"/>
                <w:lang w:val="sq-AL"/>
              </w:rPr>
              <w:t>Invest</w:t>
            </w:r>
            <w:proofErr w:type="spellEnd"/>
            <w:r w:rsidRPr="009A66BD">
              <w:rPr>
                <w:rFonts w:asciiTheme="minorHAnsi" w:eastAsiaTheme="minorEastAsia" w:hAnsiTheme="minorHAnsi" w:cstheme="minorBidi"/>
                <w:szCs w:val="20"/>
                <w:lang w:val="sq-AL"/>
              </w:rPr>
              <w:t xml:space="preserve"> in SEE”.</w:t>
            </w:r>
          </w:p>
        </w:tc>
        <w:tc>
          <w:tcPr>
            <w:tcW w:w="1800" w:type="dxa"/>
          </w:tcPr>
          <w:p w14:paraId="1E3C9107" w14:textId="68E38286" w:rsidR="00027B33" w:rsidRPr="009A66BD" w:rsidRDefault="009903D4"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BERZH</w:t>
            </w:r>
            <w:r w:rsidR="00746676" w:rsidRPr="009A66BD">
              <w:rPr>
                <w:rFonts w:asciiTheme="minorHAnsi" w:eastAsiaTheme="minorEastAsia" w:hAnsiTheme="minorHAnsi" w:cstheme="minorHAnsi"/>
                <w:szCs w:val="20"/>
                <w:lang w:val="sq-AL"/>
              </w:rPr>
              <w:t xml:space="preserve"> / </w:t>
            </w:r>
            <w:r w:rsidRPr="009A66BD">
              <w:rPr>
                <w:rFonts w:asciiTheme="minorHAnsi" w:hAnsiTheme="minorHAnsi" w:cstheme="minorHAnsi"/>
                <w:sz w:val="18"/>
                <w:lang w:val="sq-AL"/>
              </w:rPr>
              <w:t>KBR</w:t>
            </w:r>
          </w:p>
        </w:tc>
        <w:tc>
          <w:tcPr>
            <w:tcW w:w="3960" w:type="dxa"/>
          </w:tcPr>
          <w:p w14:paraId="2A174C80" w14:textId="5C46560C" w:rsidR="00027B33" w:rsidRPr="009A66BD" w:rsidRDefault="00BD1F65" w:rsidP="00027B33">
            <w:pPr>
              <w:spacing w:after="120" w:line="240" w:lineRule="auto"/>
              <w:ind w:firstLine="0"/>
              <w:jc w:val="left"/>
              <w:rPr>
                <w:rFonts w:asciiTheme="minorHAnsi" w:eastAsiaTheme="minorEastAsia" w:hAnsiTheme="minorHAnsi" w:cstheme="minorHAnsi"/>
                <w:i/>
                <w:szCs w:val="18"/>
                <w:lang w:val="sq-AL"/>
              </w:rPr>
            </w:pPr>
            <w:r w:rsidRPr="009A66BD">
              <w:rPr>
                <w:rFonts w:asciiTheme="minorHAnsi" w:eastAsiaTheme="minorEastAsia" w:hAnsiTheme="minorHAnsi" w:cstheme="minorHAnsi"/>
                <w:i/>
                <w:szCs w:val="18"/>
                <w:lang w:val="sq-AL"/>
              </w:rPr>
              <w:t>Procedurat që d</w:t>
            </w:r>
            <w:r w:rsidR="005C4B53">
              <w:rPr>
                <w:rFonts w:asciiTheme="minorHAnsi" w:eastAsiaTheme="minorEastAsia" w:hAnsiTheme="minorHAnsi" w:cstheme="minorHAnsi"/>
                <w:i/>
                <w:szCs w:val="18"/>
                <w:lang w:val="sq-AL"/>
              </w:rPr>
              <w:t>o</w:t>
            </w:r>
            <w:r w:rsidRPr="009A66BD">
              <w:rPr>
                <w:rFonts w:asciiTheme="minorHAnsi" w:eastAsiaTheme="minorEastAsia" w:hAnsiTheme="minorHAnsi" w:cstheme="minorHAnsi"/>
                <w:i/>
                <w:szCs w:val="18"/>
                <w:lang w:val="sq-AL"/>
              </w:rPr>
              <w:t xml:space="preserve"> të përfshihen në "</w:t>
            </w:r>
            <w:proofErr w:type="spellStart"/>
            <w:r w:rsidRPr="009A66BD">
              <w:rPr>
                <w:rFonts w:asciiTheme="minorHAnsi" w:eastAsiaTheme="minorEastAsia" w:hAnsiTheme="minorHAnsi" w:cstheme="minorHAnsi"/>
                <w:i/>
                <w:szCs w:val="18"/>
                <w:lang w:val="sq-AL"/>
              </w:rPr>
              <w:t>Invest</w:t>
            </w:r>
            <w:proofErr w:type="spellEnd"/>
            <w:r w:rsidRPr="009A66BD">
              <w:rPr>
                <w:rFonts w:asciiTheme="minorHAnsi" w:eastAsiaTheme="minorEastAsia" w:hAnsiTheme="minorHAnsi" w:cstheme="minorHAnsi"/>
                <w:i/>
                <w:szCs w:val="18"/>
                <w:lang w:val="sq-AL"/>
              </w:rPr>
              <w:t xml:space="preserve"> in SEE" si dhe informatat e detajuara që duhet të sigurohen për secilën procedurë janë të </w:t>
            </w:r>
            <w:proofErr w:type="spellStart"/>
            <w:r w:rsidRPr="009A66BD">
              <w:rPr>
                <w:rFonts w:asciiTheme="minorHAnsi" w:eastAsiaTheme="minorEastAsia" w:hAnsiTheme="minorHAnsi" w:cstheme="minorHAnsi"/>
                <w:i/>
                <w:szCs w:val="18"/>
                <w:lang w:val="sq-AL"/>
              </w:rPr>
              <w:t>listuara</w:t>
            </w:r>
            <w:proofErr w:type="spellEnd"/>
            <w:r w:rsidRPr="009A66BD">
              <w:rPr>
                <w:rFonts w:asciiTheme="minorHAnsi" w:eastAsiaTheme="minorEastAsia" w:hAnsiTheme="minorHAnsi" w:cstheme="minorHAnsi"/>
                <w:i/>
                <w:szCs w:val="18"/>
                <w:lang w:val="sq-AL"/>
              </w:rPr>
              <w:t xml:space="preserve"> / përshkruar në Shtojcë</w:t>
            </w:r>
            <w:r w:rsidR="00027B33" w:rsidRPr="009A66BD">
              <w:rPr>
                <w:rFonts w:asciiTheme="minorHAnsi" w:eastAsiaTheme="minorEastAsia" w:hAnsiTheme="minorHAnsi" w:cstheme="minorHAnsi"/>
                <w:i/>
                <w:szCs w:val="18"/>
                <w:lang w:val="sq-AL"/>
              </w:rPr>
              <w:t>.</w:t>
            </w:r>
          </w:p>
          <w:p w14:paraId="3C195EE0" w14:textId="01AF61CF" w:rsidR="00746676" w:rsidRPr="009A66BD" w:rsidRDefault="00157406" w:rsidP="005C4B53">
            <w:pPr>
              <w:spacing w:after="120" w:line="240" w:lineRule="auto"/>
              <w:ind w:firstLine="0"/>
              <w:jc w:val="left"/>
              <w:rPr>
                <w:rFonts w:asciiTheme="minorHAnsi" w:eastAsiaTheme="minorEastAsia" w:hAnsiTheme="minorHAnsi" w:cstheme="minorHAnsi"/>
                <w:sz w:val="18"/>
                <w:szCs w:val="18"/>
                <w:lang w:val="sq-AL"/>
              </w:rPr>
            </w:pPr>
            <w:r w:rsidRPr="009A66BD">
              <w:rPr>
                <w:rFonts w:asciiTheme="minorHAnsi" w:eastAsiaTheme="minorEastAsia" w:hAnsiTheme="minorHAnsi" w:cstheme="minorBidi"/>
                <w:i/>
                <w:szCs w:val="18"/>
                <w:lang w:val="sq-AL"/>
              </w:rPr>
              <w:t xml:space="preserve">Portali </w:t>
            </w:r>
            <w:proofErr w:type="spellStart"/>
            <w:r w:rsidRPr="009A66BD">
              <w:rPr>
                <w:rFonts w:asciiTheme="minorHAnsi" w:eastAsiaTheme="minorEastAsia" w:hAnsiTheme="minorHAnsi" w:cstheme="minorBidi"/>
                <w:i/>
                <w:szCs w:val="18"/>
                <w:lang w:val="sq-AL"/>
              </w:rPr>
              <w:t>Invest</w:t>
            </w:r>
            <w:proofErr w:type="spellEnd"/>
            <w:r w:rsidRPr="009A66BD">
              <w:rPr>
                <w:rFonts w:asciiTheme="minorHAnsi" w:eastAsiaTheme="minorEastAsia" w:hAnsiTheme="minorHAnsi" w:cstheme="minorBidi"/>
                <w:i/>
                <w:szCs w:val="18"/>
                <w:lang w:val="sq-AL"/>
              </w:rPr>
              <w:t xml:space="preserve"> in SEE </w:t>
            </w:r>
            <w:r w:rsidR="005C4B53">
              <w:rPr>
                <w:rFonts w:asciiTheme="minorHAnsi" w:eastAsiaTheme="minorEastAsia" w:hAnsiTheme="minorHAnsi" w:cstheme="minorBidi"/>
                <w:i/>
                <w:szCs w:val="18"/>
                <w:lang w:val="sq-AL"/>
              </w:rPr>
              <w:t>(Investoni n</w:t>
            </w:r>
            <w:r w:rsidR="006822F7">
              <w:rPr>
                <w:rFonts w:asciiTheme="minorHAnsi" w:eastAsiaTheme="minorEastAsia" w:hAnsiTheme="minorHAnsi" w:cstheme="minorBidi"/>
                <w:i/>
                <w:szCs w:val="18"/>
                <w:lang w:val="sq-AL"/>
              </w:rPr>
              <w:t>ë</w:t>
            </w:r>
            <w:r w:rsidR="005C4B53">
              <w:rPr>
                <w:rFonts w:asciiTheme="minorHAnsi" w:eastAsiaTheme="minorEastAsia" w:hAnsiTheme="minorHAnsi" w:cstheme="minorBidi"/>
                <w:i/>
                <w:szCs w:val="18"/>
                <w:lang w:val="sq-AL"/>
              </w:rPr>
              <w:t xml:space="preserve"> EJL) </w:t>
            </w:r>
            <w:r w:rsidRPr="009A66BD">
              <w:rPr>
                <w:rFonts w:asciiTheme="minorHAnsi" w:eastAsiaTheme="minorEastAsia" w:hAnsiTheme="minorHAnsi" w:cstheme="minorBidi"/>
                <w:i/>
                <w:szCs w:val="18"/>
                <w:lang w:val="sq-AL"/>
              </w:rPr>
              <w:t>mbështet</w:t>
            </w:r>
            <w:r w:rsidR="005C4B53">
              <w:rPr>
                <w:rFonts w:asciiTheme="minorHAnsi" w:eastAsiaTheme="minorEastAsia" w:hAnsiTheme="minorHAnsi" w:cstheme="minorBidi"/>
                <w:i/>
                <w:szCs w:val="18"/>
                <w:lang w:val="sq-AL"/>
              </w:rPr>
              <w:t xml:space="preserve">et </w:t>
            </w:r>
            <w:r w:rsidRPr="009A66BD">
              <w:rPr>
                <w:rFonts w:asciiTheme="minorHAnsi" w:eastAsiaTheme="minorEastAsia" w:hAnsiTheme="minorHAnsi" w:cstheme="minorBidi"/>
                <w:i/>
                <w:szCs w:val="18"/>
                <w:lang w:val="sq-AL"/>
              </w:rPr>
              <w:t xml:space="preserve"> financiarisht nga BERZH</w:t>
            </w:r>
            <w:r w:rsidR="00746676" w:rsidRPr="009A66BD">
              <w:rPr>
                <w:rFonts w:asciiTheme="minorHAnsi" w:eastAsiaTheme="minorEastAsia" w:hAnsiTheme="minorHAnsi" w:cstheme="minorBidi"/>
                <w:i/>
                <w:szCs w:val="18"/>
                <w:lang w:val="sq-AL"/>
              </w:rPr>
              <w:t>.</w:t>
            </w:r>
          </w:p>
        </w:tc>
      </w:tr>
      <w:tr w:rsidR="00027B33" w:rsidRPr="00612497" w14:paraId="669CBB17" w14:textId="6D7A5E13" w:rsidTr="00B33697">
        <w:trPr>
          <w:trHeight w:val="666"/>
        </w:trPr>
        <w:tc>
          <w:tcPr>
            <w:tcW w:w="2335" w:type="dxa"/>
            <w:vMerge/>
          </w:tcPr>
          <w:p w14:paraId="02B9F1F4" w14:textId="77777777" w:rsidR="00027B33" w:rsidRPr="009A66BD" w:rsidRDefault="00027B33" w:rsidP="00027B33">
            <w:pPr>
              <w:spacing w:after="120" w:line="240" w:lineRule="auto"/>
              <w:ind w:left="520" w:firstLine="0"/>
              <w:jc w:val="left"/>
              <w:rPr>
                <w:rFonts w:asciiTheme="minorHAnsi" w:eastAsiaTheme="minorEastAsia" w:hAnsiTheme="minorHAnsi" w:cstheme="minorHAnsi"/>
                <w:i/>
                <w:iCs/>
                <w:szCs w:val="20"/>
                <w:lang w:val="sq-AL"/>
              </w:rPr>
            </w:pPr>
          </w:p>
        </w:tc>
        <w:tc>
          <w:tcPr>
            <w:tcW w:w="2610" w:type="dxa"/>
          </w:tcPr>
          <w:p w14:paraId="3283D923" w14:textId="21BD35A4" w:rsidR="00027B33" w:rsidRPr="009A66BD" w:rsidRDefault="00027B33" w:rsidP="005C4B5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2.1.2. </w:t>
            </w:r>
            <w:r w:rsidR="00CF61D8" w:rsidRPr="009A66BD">
              <w:rPr>
                <w:rFonts w:asciiTheme="minorHAnsi" w:eastAsiaTheme="minorEastAsia" w:hAnsiTheme="minorHAnsi" w:cstheme="minorBidi"/>
                <w:szCs w:val="20"/>
                <w:lang w:val="sq-AL"/>
              </w:rPr>
              <w:t xml:space="preserve">Mbështetja e mirëmbajtjes së portalit  rajonal të </w:t>
            </w:r>
            <w:r w:rsidR="005C4B53">
              <w:rPr>
                <w:rFonts w:asciiTheme="minorHAnsi" w:eastAsiaTheme="minorEastAsia" w:hAnsiTheme="minorHAnsi" w:cstheme="minorBidi"/>
                <w:szCs w:val="20"/>
                <w:lang w:val="sq-AL"/>
              </w:rPr>
              <w:t>informacioneve t</w:t>
            </w:r>
            <w:r w:rsidR="006822F7">
              <w:rPr>
                <w:rFonts w:asciiTheme="minorHAnsi" w:eastAsiaTheme="minorEastAsia" w:hAnsiTheme="minorHAnsi" w:cstheme="minorBidi"/>
                <w:szCs w:val="20"/>
                <w:lang w:val="sq-AL"/>
              </w:rPr>
              <w:t>ë</w:t>
            </w:r>
            <w:r w:rsidR="005C4B53">
              <w:rPr>
                <w:rFonts w:asciiTheme="minorHAnsi" w:eastAsiaTheme="minorEastAsia" w:hAnsiTheme="minorHAnsi" w:cstheme="minorBidi"/>
                <w:szCs w:val="20"/>
                <w:lang w:val="sq-AL"/>
              </w:rPr>
              <w:t xml:space="preserve"> </w:t>
            </w:r>
            <w:r w:rsidR="00CF61D8" w:rsidRPr="009A66BD">
              <w:rPr>
                <w:rFonts w:asciiTheme="minorHAnsi" w:eastAsiaTheme="minorEastAsia" w:hAnsiTheme="minorHAnsi" w:cstheme="minorBidi"/>
                <w:szCs w:val="20"/>
                <w:lang w:val="sq-AL"/>
              </w:rPr>
              <w:lastRenderedPageBreak/>
              <w:t>biznesit "</w:t>
            </w:r>
            <w:proofErr w:type="spellStart"/>
            <w:r w:rsidR="00CF61D8" w:rsidRPr="009A66BD">
              <w:rPr>
                <w:rFonts w:asciiTheme="minorHAnsi" w:eastAsiaTheme="minorEastAsia" w:hAnsiTheme="minorHAnsi" w:cstheme="minorBidi"/>
                <w:szCs w:val="20"/>
                <w:lang w:val="sq-AL"/>
              </w:rPr>
              <w:t>Invest</w:t>
            </w:r>
            <w:proofErr w:type="spellEnd"/>
            <w:r w:rsidR="00CF61D8" w:rsidRPr="009A66BD">
              <w:rPr>
                <w:rFonts w:asciiTheme="minorHAnsi" w:eastAsiaTheme="minorEastAsia" w:hAnsiTheme="minorHAnsi" w:cstheme="minorBidi"/>
                <w:szCs w:val="20"/>
                <w:lang w:val="sq-AL"/>
              </w:rPr>
              <w:t xml:space="preserve"> in SEE" duke </w:t>
            </w:r>
            <w:r w:rsidR="005C4B53">
              <w:rPr>
                <w:rFonts w:asciiTheme="minorHAnsi" w:eastAsiaTheme="minorEastAsia" w:hAnsiTheme="minorHAnsi" w:cstheme="minorBidi"/>
                <w:szCs w:val="20"/>
                <w:lang w:val="sq-AL"/>
              </w:rPr>
              <w:t xml:space="preserve">rishikuar </w:t>
            </w:r>
            <w:r w:rsidR="00CF61D8" w:rsidRPr="009A66BD">
              <w:rPr>
                <w:rFonts w:asciiTheme="minorHAnsi" w:eastAsiaTheme="minorEastAsia" w:hAnsiTheme="minorHAnsi" w:cstheme="minorBidi"/>
                <w:szCs w:val="20"/>
                <w:lang w:val="sq-AL"/>
              </w:rPr>
              <w:t>dhe përditësuar periodikisht informacionin e dhënë në faqen e internetit.</w:t>
            </w:r>
          </w:p>
        </w:tc>
        <w:tc>
          <w:tcPr>
            <w:tcW w:w="900" w:type="dxa"/>
          </w:tcPr>
          <w:p w14:paraId="1194BE18" w14:textId="77777777" w:rsidR="00DA335F" w:rsidRPr="009A66BD" w:rsidRDefault="00DA335F" w:rsidP="00DA335F">
            <w:pPr>
              <w:spacing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lastRenderedPageBreak/>
              <w:t>Qershor</w:t>
            </w:r>
          </w:p>
          <w:p w14:paraId="398F6490" w14:textId="66D4ECFE" w:rsidR="00D360F8" w:rsidRPr="009A66BD" w:rsidRDefault="00746676" w:rsidP="00D360F8">
            <w:pPr>
              <w:spacing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2019 - </w:t>
            </w:r>
          </w:p>
          <w:p w14:paraId="072DCFBD" w14:textId="5284AD73" w:rsidR="00027B33" w:rsidRPr="009A66BD" w:rsidRDefault="005978C1" w:rsidP="00027B33">
            <w:pPr>
              <w:spacing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në </w:t>
            </w:r>
            <w:r w:rsidRPr="009A66BD">
              <w:rPr>
                <w:rFonts w:asciiTheme="minorHAnsi" w:eastAsiaTheme="minorEastAsia" w:hAnsiTheme="minorHAnsi" w:cstheme="minorHAnsi"/>
                <w:lang w:val="sq-AL"/>
              </w:rPr>
              <w:lastRenderedPageBreak/>
              <w:t>vazhdim e sipër</w:t>
            </w:r>
          </w:p>
        </w:tc>
        <w:tc>
          <w:tcPr>
            <w:tcW w:w="1260" w:type="dxa"/>
          </w:tcPr>
          <w:p w14:paraId="03873CBD" w14:textId="7173CE18" w:rsidR="00027B33" w:rsidRPr="009A66BD" w:rsidRDefault="0020084D"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KIESA*</w:t>
            </w:r>
          </w:p>
        </w:tc>
        <w:tc>
          <w:tcPr>
            <w:tcW w:w="1980" w:type="dxa"/>
          </w:tcPr>
          <w:p w14:paraId="061D8D86" w14:textId="3930EF6A" w:rsidR="00746676" w:rsidRPr="009A66BD" w:rsidRDefault="009951F3" w:rsidP="00746676">
            <w:pPr>
              <w:spacing w:after="120" w:line="240" w:lineRule="auto"/>
              <w:ind w:firstLine="0"/>
              <w:jc w:val="left"/>
              <w:rPr>
                <w:rFonts w:asciiTheme="minorHAnsi" w:eastAsiaTheme="minorEastAsia" w:hAnsiTheme="minorHAnsi" w:cstheme="minorBidi"/>
                <w:szCs w:val="20"/>
                <w:lang w:val="sq-AL"/>
              </w:rPr>
            </w:pPr>
            <w:r w:rsidRPr="009A66BD">
              <w:rPr>
                <w:rFonts w:asciiTheme="minorHAnsi" w:eastAsiaTheme="minorEastAsia" w:hAnsiTheme="minorHAnsi" w:cstheme="minorBidi"/>
                <w:szCs w:val="20"/>
                <w:lang w:val="sq-AL"/>
              </w:rPr>
              <w:t xml:space="preserve">Caktimi i një agjenci e  qeveritare të </w:t>
            </w:r>
            <w:proofErr w:type="spellStart"/>
            <w:r w:rsidRPr="009A66BD">
              <w:rPr>
                <w:rFonts w:asciiTheme="minorHAnsi" w:eastAsiaTheme="minorEastAsia" w:hAnsiTheme="minorHAnsi" w:cstheme="minorBidi"/>
                <w:szCs w:val="20"/>
                <w:lang w:val="sq-AL"/>
              </w:rPr>
              <w:t>mandatuar</w:t>
            </w:r>
            <w:proofErr w:type="spellEnd"/>
            <w:r w:rsidRPr="009A66BD">
              <w:rPr>
                <w:rFonts w:asciiTheme="minorHAnsi" w:eastAsiaTheme="minorEastAsia" w:hAnsiTheme="minorHAnsi" w:cstheme="minorBidi"/>
                <w:szCs w:val="20"/>
                <w:lang w:val="sq-AL"/>
              </w:rPr>
              <w:t xml:space="preserve"> që të </w:t>
            </w:r>
            <w:r w:rsidR="005C4B53">
              <w:rPr>
                <w:rFonts w:asciiTheme="minorHAnsi" w:eastAsiaTheme="minorEastAsia" w:hAnsiTheme="minorHAnsi" w:cstheme="minorBidi"/>
                <w:szCs w:val="20"/>
                <w:lang w:val="sq-AL"/>
              </w:rPr>
              <w:lastRenderedPageBreak/>
              <w:t>rishikoj</w:t>
            </w:r>
            <w:r w:rsidR="006822F7">
              <w:rPr>
                <w:rFonts w:asciiTheme="minorHAnsi" w:eastAsiaTheme="minorEastAsia" w:hAnsiTheme="minorHAnsi" w:cstheme="minorBidi"/>
                <w:szCs w:val="20"/>
                <w:lang w:val="sq-AL"/>
              </w:rPr>
              <w:t>ë</w:t>
            </w:r>
            <w:r w:rsidR="005C4B53">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 xml:space="preserve">dhe përditësojë periodikisht informacionet e ofruara në portalin </w:t>
            </w:r>
            <w:r w:rsidR="00500D2B">
              <w:rPr>
                <w:rFonts w:asciiTheme="minorHAnsi" w:eastAsiaTheme="minorEastAsia" w:hAnsiTheme="minorHAnsi" w:cstheme="minorBidi"/>
                <w:szCs w:val="20"/>
                <w:lang w:val="sq-AL"/>
              </w:rPr>
              <w:t>rajonal t</w:t>
            </w:r>
            <w:r w:rsidR="006822F7">
              <w:rPr>
                <w:rFonts w:asciiTheme="minorHAnsi" w:eastAsiaTheme="minorEastAsia" w:hAnsiTheme="minorHAnsi" w:cstheme="minorBidi"/>
                <w:szCs w:val="20"/>
                <w:lang w:val="sq-AL"/>
              </w:rPr>
              <w:t>ë</w:t>
            </w:r>
            <w:r w:rsidR="00500D2B">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informacion</w:t>
            </w:r>
            <w:r w:rsidR="00500D2B">
              <w:rPr>
                <w:rFonts w:asciiTheme="minorHAnsi" w:eastAsiaTheme="minorEastAsia" w:hAnsiTheme="minorHAnsi" w:cstheme="minorBidi"/>
                <w:szCs w:val="20"/>
                <w:lang w:val="sq-AL"/>
              </w:rPr>
              <w:t xml:space="preserve">eve </w:t>
            </w:r>
            <w:r w:rsidRPr="009A66BD">
              <w:rPr>
                <w:rFonts w:asciiTheme="minorHAnsi" w:eastAsiaTheme="minorEastAsia" w:hAnsiTheme="minorHAnsi" w:cstheme="minorBidi"/>
                <w:szCs w:val="20"/>
                <w:lang w:val="sq-AL"/>
              </w:rPr>
              <w:t>të biznesit</w:t>
            </w:r>
            <w:r w:rsidR="00746676" w:rsidRPr="009A66BD">
              <w:rPr>
                <w:rFonts w:asciiTheme="minorHAnsi" w:eastAsiaTheme="minorEastAsia" w:hAnsiTheme="minorHAnsi" w:cstheme="minorBidi"/>
                <w:szCs w:val="20"/>
                <w:lang w:val="sq-AL"/>
              </w:rPr>
              <w:t>.</w:t>
            </w:r>
          </w:p>
          <w:p w14:paraId="7631BF2D" w14:textId="3049CC3F" w:rsidR="00027B33" w:rsidRPr="009A66BD" w:rsidRDefault="00F134AF" w:rsidP="00500D2B">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Informacionet e përditësuara të ofruara në portalin </w:t>
            </w:r>
            <w:r w:rsidR="00500D2B">
              <w:rPr>
                <w:rFonts w:asciiTheme="minorHAnsi" w:eastAsiaTheme="minorEastAsia" w:hAnsiTheme="minorHAnsi" w:cstheme="minorBidi"/>
                <w:szCs w:val="20"/>
                <w:lang w:val="sq-AL"/>
              </w:rPr>
              <w:t>rajonal t</w:t>
            </w:r>
            <w:r w:rsidR="006822F7">
              <w:rPr>
                <w:rFonts w:asciiTheme="minorHAnsi" w:eastAsiaTheme="minorEastAsia" w:hAnsiTheme="minorHAnsi" w:cstheme="minorBidi"/>
                <w:szCs w:val="20"/>
                <w:lang w:val="sq-AL"/>
              </w:rPr>
              <w:t>ë</w:t>
            </w:r>
            <w:r w:rsidR="00500D2B">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informacion</w:t>
            </w:r>
            <w:r w:rsidR="00500D2B">
              <w:rPr>
                <w:rFonts w:asciiTheme="minorHAnsi" w:eastAsiaTheme="minorEastAsia" w:hAnsiTheme="minorHAnsi" w:cstheme="minorBidi"/>
                <w:szCs w:val="20"/>
                <w:lang w:val="sq-AL"/>
              </w:rPr>
              <w:t>eve t</w:t>
            </w:r>
            <w:r w:rsidR="006822F7">
              <w:rPr>
                <w:rFonts w:asciiTheme="minorHAnsi" w:eastAsiaTheme="minorEastAsia" w:hAnsiTheme="minorHAnsi" w:cstheme="minorBidi"/>
                <w:szCs w:val="20"/>
                <w:lang w:val="sq-AL"/>
              </w:rPr>
              <w:t>ë</w:t>
            </w:r>
            <w:r w:rsidR="00500D2B">
              <w:rPr>
                <w:rFonts w:asciiTheme="minorHAnsi" w:eastAsiaTheme="minorEastAsia" w:hAnsiTheme="minorHAnsi" w:cstheme="minorBidi"/>
                <w:szCs w:val="20"/>
                <w:lang w:val="sq-AL"/>
              </w:rPr>
              <w:t xml:space="preserve"> biznesit </w:t>
            </w:r>
            <w:r w:rsidRPr="009A66BD">
              <w:rPr>
                <w:rFonts w:asciiTheme="minorHAnsi" w:eastAsiaTheme="minorEastAsia" w:hAnsiTheme="minorHAnsi" w:cstheme="minorBidi"/>
                <w:szCs w:val="20"/>
                <w:lang w:val="sq-AL"/>
              </w:rPr>
              <w:t>në baza të rregullta.</w:t>
            </w:r>
          </w:p>
        </w:tc>
        <w:tc>
          <w:tcPr>
            <w:tcW w:w="1800" w:type="dxa"/>
          </w:tcPr>
          <w:p w14:paraId="6D801B1B" w14:textId="3F182B7A" w:rsidR="00027B33" w:rsidRPr="009A66BD" w:rsidRDefault="009903D4"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Nuk është e nevojshme</w:t>
            </w:r>
          </w:p>
        </w:tc>
        <w:tc>
          <w:tcPr>
            <w:tcW w:w="3960" w:type="dxa"/>
          </w:tcPr>
          <w:p w14:paraId="0A77E8A1" w14:textId="7C39586C" w:rsidR="00027B33" w:rsidRPr="009A66BD" w:rsidRDefault="00F134AF"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18"/>
                <w:lang w:val="sq-AL"/>
              </w:rPr>
              <w:t xml:space="preserve">Objektivi përfundimtar është nënshkrimi i një Memorandumi Mirëkuptimi ndërmjet CIF dhe agjencisë qeveritare të caktuar, duke </w:t>
            </w:r>
            <w:r w:rsidRPr="009A66BD">
              <w:rPr>
                <w:rFonts w:asciiTheme="minorHAnsi" w:eastAsiaTheme="minorEastAsia" w:hAnsiTheme="minorHAnsi" w:cstheme="minorBidi"/>
                <w:i/>
                <w:szCs w:val="18"/>
                <w:lang w:val="sq-AL"/>
              </w:rPr>
              <w:lastRenderedPageBreak/>
              <w:t>specifikuar detajet e këtij bashkëpunimi</w:t>
            </w:r>
            <w:r w:rsidR="00746676" w:rsidRPr="009A66BD">
              <w:rPr>
                <w:rFonts w:asciiTheme="minorHAnsi" w:eastAsiaTheme="minorEastAsia" w:hAnsiTheme="minorHAnsi" w:cstheme="minorBidi"/>
                <w:i/>
                <w:szCs w:val="18"/>
                <w:lang w:val="sq-AL"/>
              </w:rPr>
              <w:t>.</w:t>
            </w:r>
          </w:p>
        </w:tc>
      </w:tr>
      <w:tr w:rsidR="00027B33" w:rsidRPr="00612497" w14:paraId="75639786" w14:textId="22B78AD9" w:rsidTr="00B33697">
        <w:trPr>
          <w:cnfStyle w:val="000000100000" w:firstRow="0" w:lastRow="0" w:firstColumn="0" w:lastColumn="0" w:oddVBand="0" w:evenVBand="0" w:oddHBand="1" w:evenHBand="0" w:firstRowFirstColumn="0" w:firstRowLastColumn="0" w:lastRowFirstColumn="0" w:lastRowLastColumn="0"/>
          <w:trHeight w:val="2215"/>
        </w:trPr>
        <w:tc>
          <w:tcPr>
            <w:tcW w:w="2335" w:type="dxa"/>
            <w:vMerge/>
          </w:tcPr>
          <w:p w14:paraId="202987D5" w14:textId="77777777" w:rsidR="00027B33" w:rsidRPr="009A66BD" w:rsidRDefault="00027B33" w:rsidP="00027B33">
            <w:pPr>
              <w:spacing w:after="120" w:line="240" w:lineRule="auto"/>
              <w:ind w:left="520" w:firstLine="0"/>
              <w:jc w:val="left"/>
              <w:rPr>
                <w:rFonts w:asciiTheme="minorHAnsi" w:eastAsiaTheme="minorHAnsi" w:hAnsiTheme="minorHAnsi" w:cstheme="minorHAnsi"/>
                <w:szCs w:val="20"/>
                <w:lang w:val="sq-AL"/>
              </w:rPr>
            </w:pPr>
          </w:p>
        </w:tc>
        <w:tc>
          <w:tcPr>
            <w:tcW w:w="2610" w:type="dxa"/>
          </w:tcPr>
          <w:p w14:paraId="744CB17F" w14:textId="5AA2810D" w:rsidR="00027B33" w:rsidRPr="009A66BD" w:rsidRDefault="009D2353" w:rsidP="005C297D">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szCs w:val="20"/>
                <w:lang w:val="sq-AL"/>
              </w:rPr>
              <w:t>2.1.3</w:t>
            </w:r>
            <w:r w:rsidR="00027B33" w:rsidRPr="009A66BD">
              <w:rPr>
                <w:rFonts w:asciiTheme="minorHAnsi" w:eastAsiaTheme="minorEastAsia" w:hAnsiTheme="minorHAnsi" w:cstheme="minorHAnsi"/>
                <w:szCs w:val="20"/>
                <w:lang w:val="sq-AL"/>
              </w:rPr>
              <w:t xml:space="preserve">. </w:t>
            </w:r>
            <w:r w:rsidR="00A03EEB" w:rsidRPr="009A66BD">
              <w:rPr>
                <w:rFonts w:asciiTheme="minorHAnsi" w:eastAsiaTheme="minorEastAsia" w:hAnsiTheme="minorHAnsi" w:cstheme="minorHAnsi"/>
                <w:szCs w:val="20"/>
                <w:lang w:val="sq-AL"/>
              </w:rPr>
              <w:t>Shprehja e interesimit për t'</w:t>
            </w:r>
            <w:r w:rsidR="005C297D">
              <w:rPr>
                <w:rFonts w:asciiTheme="minorHAnsi" w:eastAsiaTheme="minorEastAsia" w:hAnsiTheme="minorHAnsi" w:cstheme="minorHAnsi"/>
                <w:szCs w:val="20"/>
                <w:lang w:val="sq-AL"/>
              </w:rPr>
              <w:t>i</w:t>
            </w:r>
            <w:r w:rsidR="00A03EEB" w:rsidRPr="009A66BD">
              <w:rPr>
                <w:rFonts w:asciiTheme="minorHAnsi" w:eastAsiaTheme="minorEastAsia" w:hAnsiTheme="minorHAnsi" w:cstheme="minorHAnsi"/>
                <w:szCs w:val="20"/>
                <w:lang w:val="sq-AL"/>
              </w:rPr>
              <w:t xml:space="preserve">u bashkuar </w:t>
            </w:r>
            <w:r w:rsidR="005C297D">
              <w:rPr>
                <w:rFonts w:asciiTheme="minorHAnsi" w:eastAsiaTheme="minorEastAsia" w:hAnsiTheme="minorHAnsi" w:cstheme="minorHAnsi"/>
                <w:szCs w:val="20"/>
                <w:lang w:val="sq-AL"/>
              </w:rPr>
              <w:t>"Portalit</w:t>
            </w:r>
            <w:r w:rsidR="00A03EEB" w:rsidRPr="009A66BD">
              <w:rPr>
                <w:rFonts w:asciiTheme="minorHAnsi" w:eastAsiaTheme="minorEastAsia" w:hAnsiTheme="minorHAnsi" w:cstheme="minorHAnsi"/>
                <w:szCs w:val="20"/>
                <w:lang w:val="sq-AL"/>
              </w:rPr>
              <w:t xml:space="preserve"> R</w:t>
            </w:r>
            <w:r w:rsidR="005C297D">
              <w:rPr>
                <w:rFonts w:asciiTheme="minorHAnsi" w:eastAsiaTheme="minorEastAsia" w:hAnsiTheme="minorHAnsi" w:cstheme="minorHAnsi"/>
                <w:szCs w:val="20"/>
                <w:lang w:val="sq-AL"/>
              </w:rPr>
              <w:t xml:space="preserve">ajonal </w:t>
            </w:r>
            <w:r w:rsidR="00A03EEB" w:rsidRPr="009A66BD">
              <w:rPr>
                <w:rFonts w:asciiTheme="minorHAnsi" w:eastAsiaTheme="minorEastAsia" w:hAnsiTheme="minorHAnsi" w:cstheme="minorHAnsi"/>
                <w:szCs w:val="20"/>
                <w:lang w:val="sq-AL"/>
              </w:rPr>
              <w:t xml:space="preserve">të </w:t>
            </w:r>
            <w:r w:rsidR="005C297D">
              <w:rPr>
                <w:rFonts w:asciiTheme="minorHAnsi" w:eastAsiaTheme="minorEastAsia" w:hAnsiTheme="minorHAnsi" w:cstheme="minorHAnsi"/>
                <w:szCs w:val="20"/>
                <w:lang w:val="sq-AL"/>
              </w:rPr>
              <w:t>Regjistrave t</w:t>
            </w:r>
            <w:r w:rsidR="006822F7">
              <w:rPr>
                <w:rFonts w:asciiTheme="minorHAnsi" w:eastAsiaTheme="minorEastAsia" w:hAnsiTheme="minorHAnsi" w:cstheme="minorHAnsi"/>
                <w:szCs w:val="20"/>
                <w:lang w:val="sq-AL"/>
              </w:rPr>
              <w:t>ë</w:t>
            </w:r>
            <w:r w:rsidR="005C297D">
              <w:rPr>
                <w:rFonts w:asciiTheme="minorHAnsi" w:eastAsiaTheme="minorEastAsia" w:hAnsiTheme="minorHAnsi" w:cstheme="minorHAnsi"/>
                <w:szCs w:val="20"/>
                <w:lang w:val="sq-AL"/>
              </w:rPr>
              <w:t xml:space="preserve"> </w:t>
            </w:r>
            <w:r w:rsidR="00A03EEB" w:rsidRPr="009A66BD">
              <w:rPr>
                <w:rFonts w:asciiTheme="minorHAnsi" w:eastAsiaTheme="minorEastAsia" w:hAnsiTheme="minorHAnsi" w:cstheme="minorHAnsi"/>
                <w:szCs w:val="20"/>
                <w:lang w:val="sq-AL"/>
              </w:rPr>
              <w:t>Bizneseve të Evropës Juglindore"</w:t>
            </w:r>
          </w:p>
        </w:tc>
        <w:tc>
          <w:tcPr>
            <w:tcW w:w="900" w:type="dxa"/>
          </w:tcPr>
          <w:p w14:paraId="3D423B0A" w14:textId="1FE3F3F8" w:rsidR="00027B33" w:rsidRPr="009A66BD" w:rsidRDefault="00DA335F"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r w:rsidR="00027B33" w:rsidRPr="009A66BD">
              <w:rPr>
                <w:rFonts w:asciiTheme="minorHAnsi" w:eastAsiaTheme="minorEastAsia" w:hAnsiTheme="minorHAnsi" w:cstheme="minorHAnsi"/>
                <w:szCs w:val="20"/>
                <w:lang w:val="sq-AL"/>
              </w:rPr>
              <w:t xml:space="preserve"> 2019</w:t>
            </w:r>
          </w:p>
        </w:tc>
        <w:tc>
          <w:tcPr>
            <w:tcW w:w="1260" w:type="dxa"/>
          </w:tcPr>
          <w:p w14:paraId="30DFC9AC" w14:textId="50B79556" w:rsidR="00027B33" w:rsidRPr="009A66BD" w:rsidRDefault="002702AF"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Agjencia e Regjistrimit të Bizneseve të Kosovës </w:t>
            </w:r>
            <w:r w:rsidR="00D360F8" w:rsidRPr="009A66BD">
              <w:rPr>
                <w:rFonts w:asciiTheme="minorHAnsi" w:eastAsiaTheme="minorEastAsia" w:hAnsiTheme="minorHAnsi" w:cstheme="minorHAnsi"/>
                <w:szCs w:val="20"/>
                <w:lang w:val="sq-AL"/>
              </w:rPr>
              <w:t>(ARBK)</w:t>
            </w:r>
            <w:r w:rsidR="005B2877" w:rsidRPr="009A66BD">
              <w:rPr>
                <w:rStyle w:val="FootnoteReference"/>
                <w:rFonts w:asciiTheme="minorHAnsi" w:eastAsiaTheme="minorEastAsia" w:hAnsiTheme="minorHAnsi" w:cstheme="minorHAnsi"/>
                <w:szCs w:val="20"/>
                <w:lang w:val="sq-AL"/>
              </w:rPr>
              <w:t xml:space="preserve"> </w:t>
            </w:r>
            <w:r w:rsidR="005B2877" w:rsidRPr="009A66BD">
              <w:rPr>
                <w:rStyle w:val="FootnoteReference"/>
                <w:rFonts w:asciiTheme="minorHAnsi" w:eastAsiaTheme="minorEastAsia" w:hAnsiTheme="minorHAnsi" w:cstheme="minorHAnsi"/>
                <w:szCs w:val="20"/>
                <w:lang w:val="sq-AL"/>
              </w:rPr>
              <w:footnoteReference w:customMarkFollows="1" w:id="5"/>
              <w:sym w:font="Symbol" w:char="F02A"/>
            </w:r>
          </w:p>
        </w:tc>
        <w:tc>
          <w:tcPr>
            <w:tcW w:w="1980" w:type="dxa"/>
          </w:tcPr>
          <w:p w14:paraId="14489990" w14:textId="06732A66" w:rsidR="00027B33" w:rsidRPr="009A66BD" w:rsidRDefault="000F3DB5" w:rsidP="005C297D">
            <w:pPr>
              <w:spacing w:after="120" w:line="240" w:lineRule="auto"/>
              <w:ind w:firstLine="0"/>
              <w:jc w:val="left"/>
              <w:rPr>
                <w:rFonts w:asciiTheme="minorHAnsi" w:eastAsiaTheme="minorEastAsia" w:hAnsiTheme="minorHAnsi" w:cstheme="minorHAnsi"/>
                <w:szCs w:val="20"/>
                <w:lang w:val="sq-AL"/>
              </w:rPr>
            </w:pPr>
            <w:r w:rsidRPr="009A66BD">
              <w:rPr>
                <w:rFonts w:asciiTheme="minorHAnsi" w:hAnsiTheme="minorHAnsi"/>
                <w:color w:val="000000" w:themeColor="text1"/>
                <w:szCs w:val="20"/>
                <w:lang w:val="sq-AL"/>
              </w:rPr>
              <w:t>N</w:t>
            </w:r>
            <w:r w:rsidR="00705595">
              <w:rPr>
                <w:rFonts w:asciiTheme="minorHAnsi" w:hAnsiTheme="minorHAnsi"/>
                <w:color w:val="000000" w:themeColor="text1"/>
                <w:szCs w:val="20"/>
                <w:lang w:val="sq-AL"/>
              </w:rPr>
              <w:t>jë memorandum mirëkuptimi / let</w:t>
            </w:r>
            <w:r w:rsidRPr="009A66BD">
              <w:rPr>
                <w:rFonts w:asciiTheme="minorHAnsi" w:hAnsiTheme="minorHAnsi"/>
                <w:color w:val="000000" w:themeColor="text1"/>
                <w:szCs w:val="20"/>
                <w:lang w:val="sq-AL"/>
              </w:rPr>
              <w:t>ë</w:t>
            </w:r>
            <w:r w:rsidR="00705595">
              <w:rPr>
                <w:rFonts w:asciiTheme="minorHAnsi" w:hAnsiTheme="minorHAnsi"/>
                <w:color w:val="000000" w:themeColor="text1"/>
                <w:szCs w:val="20"/>
                <w:lang w:val="sq-AL"/>
              </w:rPr>
              <w:t>r</w:t>
            </w:r>
            <w:r w:rsidRPr="009A66BD">
              <w:rPr>
                <w:rFonts w:asciiTheme="minorHAnsi" w:hAnsiTheme="minorHAnsi"/>
                <w:color w:val="000000" w:themeColor="text1"/>
                <w:szCs w:val="20"/>
                <w:lang w:val="sq-AL"/>
              </w:rPr>
              <w:t xml:space="preserve"> </w:t>
            </w:r>
            <w:r w:rsidR="005C297D">
              <w:rPr>
                <w:rFonts w:asciiTheme="minorHAnsi" w:hAnsiTheme="minorHAnsi"/>
                <w:color w:val="000000" w:themeColor="text1"/>
                <w:szCs w:val="20"/>
                <w:lang w:val="sq-AL"/>
              </w:rPr>
              <w:t>q</w:t>
            </w:r>
            <w:r w:rsidR="006822F7">
              <w:rPr>
                <w:rFonts w:asciiTheme="minorHAnsi" w:hAnsiTheme="minorHAnsi"/>
                <w:color w:val="000000" w:themeColor="text1"/>
                <w:szCs w:val="20"/>
                <w:lang w:val="sq-AL"/>
              </w:rPr>
              <w:t>ë</w:t>
            </w:r>
            <w:r w:rsidR="005C297D">
              <w:rPr>
                <w:rFonts w:asciiTheme="minorHAnsi" w:hAnsiTheme="minorHAnsi"/>
                <w:color w:val="000000" w:themeColor="text1"/>
                <w:szCs w:val="20"/>
                <w:lang w:val="sq-AL"/>
              </w:rPr>
              <w:t xml:space="preserve">llimi </w:t>
            </w:r>
            <w:r w:rsidRPr="009A66BD">
              <w:rPr>
                <w:rFonts w:asciiTheme="minorHAnsi" w:hAnsiTheme="minorHAnsi"/>
                <w:color w:val="000000" w:themeColor="text1"/>
                <w:szCs w:val="20"/>
                <w:lang w:val="sq-AL"/>
              </w:rPr>
              <w:t xml:space="preserve">me BERZH / agjencitë e regjistrimit </w:t>
            </w:r>
            <w:r w:rsidR="0050610B" w:rsidRPr="009A66BD">
              <w:rPr>
                <w:rFonts w:asciiTheme="minorHAnsi" w:hAnsiTheme="minorHAnsi"/>
                <w:color w:val="000000" w:themeColor="text1"/>
                <w:szCs w:val="20"/>
                <w:lang w:val="sq-AL"/>
              </w:rPr>
              <w:t xml:space="preserve">të biznesit </w:t>
            </w:r>
            <w:r w:rsidRPr="009A66BD">
              <w:rPr>
                <w:rFonts w:asciiTheme="minorHAnsi" w:hAnsiTheme="minorHAnsi"/>
                <w:color w:val="000000" w:themeColor="text1"/>
                <w:szCs w:val="20"/>
                <w:lang w:val="sq-AL"/>
              </w:rPr>
              <w:t>në rajon.</w:t>
            </w:r>
          </w:p>
        </w:tc>
        <w:tc>
          <w:tcPr>
            <w:tcW w:w="1800" w:type="dxa"/>
          </w:tcPr>
          <w:p w14:paraId="1E5D1E64" w14:textId="0CCAC0B0" w:rsidR="00027B33" w:rsidRPr="009A66BD" w:rsidRDefault="009903D4"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3960" w:type="dxa"/>
          </w:tcPr>
          <w:p w14:paraId="52670727" w14:textId="7E30E6F3" w:rsidR="003002DE" w:rsidRPr="009A66BD" w:rsidRDefault="0050610B" w:rsidP="00027B33">
            <w:pPr>
              <w:spacing w:after="120" w:line="240" w:lineRule="auto"/>
              <w:ind w:firstLine="0"/>
              <w:jc w:val="left"/>
              <w:rPr>
                <w:rFonts w:asciiTheme="minorHAnsi" w:hAnsiTheme="minorHAnsi"/>
                <w:i/>
                <w:color w:val="000000" w:themeColor="text1"/>
                <w:lang w:val="sq-AL"/>
              </w:rPr>
            </w:pPr>
            <w:r w:rsidRPr="009A66BD">
              <w:rPr>
                <w:rFonts w:asciiTheme="minorHAnsi" w:hAnsiTheme="minorHAnsi"/>
                <w:i/>
                <w:color w:val="000000" w:themeColor="text1"/>
                <w:lang w:val="sq-AL"/>
              </w:rPr>
              <w:t>Banka Evropiane për Rindërtim dhe Zhvillim ("BERZH") mbështet agjencitë e regjistrimit të bizneseve në Evropën Juglindore për të krijuar një platformë rajonale të TI që do të lejojë lidhjen e agjencive të regjistrimit të bizneseve në rajon, t</w:t>
            </w:r>
            <w:r w:rsidR="006822F7">
              <w:rPr>
                <w:rFonts w:asciiTheme="minorHAnsi" w:hAnsiTheme="minorHAnsi"/>
                <w:i/>
                <w:color w:val="000000" w:themeColor="text1"/>
                <w:lang w:val="sq-AL"/>
              </w:rPr>
              <w:t>ë</w:t>
            </w:r>
            <w:r w:rsidRPr="009A66BD">
              <w:rPr>
                <w:rFonts w:asciiTheme="minorHAnsi" w:hAnsiTheme="minorHAnsi"/>
                <w:i/>
                <w:color w:val="000000" w:themeColor="text1"/>
                <w:lang w:val="sq-AL"/>
              </w:rPr>
              <w:t xml:space="preserve"> </w:t>
            </w:r>
            <w:r w:rsidR="00AC69F6">
              <w:rPr>
                <w:rFonts w:asciiTheme="minorHAnsi" w:hAnsiTheme="minorHAnsi"/>
                <w:i/>
                <w:color w:val="000000" w:themeColor="text1"/>
                <w:lang w:val="sq-AL"/>
              </w:rPr>
              <w:t>ofroj</w:t>
            </w:r>
            <w:r w:rsidR="006822F7">
              <w:rPr>
                <w:rFonts w:asciiTheme="minorHAnsi" w:hAnsiTheme="minorHAnsi"/>
                <w:i/>
                <w:color w:val="000000" w:themeColor="text1"/>
                <w:lang w:val="sq-AL"/>
              </w:rPr>
              <w:t>ë</w:t>
            </w:r>
            <w:r w:rsidR="00AC69F6">
              <w:rPr>
                <w:rFonts w:asciiTheme="minorHAnsi" w:hAnsiTheme="minorHAnsi"/>
                <w:i/>
                <w:color w:val="000000" w:themeColor="text1"/>
                <w:lang w:val="sq-AL"/>
              </w:rPr>
              <w:t xml:space="preserve"> sh</w:t>
            </w:r>
            <w:r w:rsidR="006822F7">
              <w:rPr>
                <w:rFonts w:asciiTheme="minorHAnsi" w:hAnsiTheme="minorHAnsi"/>
                <w:i/>
                <w:color w:val="000000" w:themeColor="text1"/>
                <w:lang w:val="sq-AL"/>
              </w:rPr>
              <w:t>ë</w:t>
            </w:r>
            <w:r w:rsidR="00AC69F6">
              <w:rPr>
                <w:rFonts w:asciiTheme="minorHAnsi" w:hAnsiTheme="minorHAnsi"/>
                <w:i/>
                <w:color w:val="000000" w:themeColor="text1"/>
                <w:lang w:val="sq-AL"/>
              </w:rPr>
              <w:t>rbime t</w:t>
            </w:r>
            <w:r w:rsidR="006822F7">
              <w:rPr>
                <w:rFonts w:asciiTheme="minorHAnsi" w:hAnsiTheme="minorHAnsi"/>
                <w:i/>
                <w:color w:val="000000" w:themeColor="text1"/>
                <w:lang w:val="sq-AL"/>
              </w:rPr>
              <w:t>ë</w:t>
            </w:r>
            <w:r w:rsidR="00AC69F6">
              <w:rPr>
                <w:rFonts w:asciiTheme="minorHAnsi" w:hAnsiTheme="minorHAnsi"/>
                <w:i/>
                <w:color w:val="000000" w:themeColor="text1"/>
                <w:lang w:val="sq-AL"/>
              </w:rPr>
              <w:t xml:space="preserve"> </w:t>
            </w:r>
            <w:r w:rsidRPr="009A66BD">
              <w:rPr>
                <w:rFonts w:asciiTheme="minorHAnsi" w:hAnsiTheme="minorHAnsi"/>
                <w:i/>
                <w:color w:val="000000" w:themeColor="text1"/>
                <w:lang w:val="sq-AL"/>
              </w:rPr>
              <w:t>shkëmbimi</w:t>
            </w:r>
            <w:r w:rsidR="00AC69F6">
              <w:rPr>
                <w:rFonts w:asciiTheme="minorHAnsi" w:hAnsiTheme="minorHAnsi"/>
                <w:i/>
                <w:color w:val="000000" w:themeColor="text1"/>
                <w:lang w:val="sq-AL"/>
              </w:rPr>
              <w:t>t t</w:t>
            </w:r>
            <w:r w:rsidR="006822F7">
              <w:rPr>
                <w:rFonts w:asciiTheme="minorHAnsi" w:hAnsiTheme="minorHAnsi"/>
                <w:i/>
                <w:color w:val="000000" w:themeColor="text1"/>
                <w:lang w:val="sq-AL"/>
              </w:rPr>
              <w:t>ë</w:t>
            </w:r>
            <w:r w:rsidR="00AC69F6">
              <w:rPr>
                <w:rFonts w:asciiTheme="minorHAnsi" w:hAnsiTheme="minorHAnsi"/>
                <w:i/>
                <w:color w:val="000000" w:themeColor="text1"/>
                <w:lang w:val="sq-AL"/>
              </w:rPr>
              <w:t xml:space="preserve"> </w:t>
            </w:r>
            <w:r w:rsidRPr="009A66BD">
              <w:rPr>
                <w:rFonts w:asciiTheme="minorHAnsi" w:hAnsiTheme="minorHAnsi"/>
                <w:i/>
                <w:color w:val="000000" w:themeColor="text1"/>
                <w:lang w:val="sq-AL"/>
              </w:rPr>
              <w:t xml:space="preserve"> </w:t>
            </w:r>
            <w:proofErr w:type="spellStart"/>
            <w:r w:rsidRPr="009A66BD">
              <w:rPr>
                <w:rFonts w:asciiTheme="minorHAnsi" w:hAnsiTheme="minorHAnsi"/>
                <w:i/>
                <w:color w:val="000000" w:themeColor="text1"/>
                <w:lang w:val="sq-AL"/>
              </w:rPr>
              <w:t>të</w:t>
            </w:r>
            <w:proofErr w:type="spellEnd"/>
            <w:r w:rsidRPr="009A66BD">
              <w:rPr>
                <w:rFonts w:asciiTheme="minorHAnsi" w:hAnsiTheme="minorHAnsi"/>
                <w:i/>
                <w:color w:val="000000" w:themeColor="text1"/>
                <w:lang w:val="sq-AL"/>
              </w:rPr>
              <w:t xml:space="preserve"> dhënave dhe me vlerë të shtuar</w:t>
            </w:r>
            <w:r w:rsidR="00AC69F6">
              <w:rPr>
                <w:rFonts w:asciiTheme="minorHAnsi" w:hAnsiTheme="minorHAnsi"/>
                <w:i/>
                <w:color w:val="000000" w:themeColor="text1"/>
                <w:lang w:val="sq-AL"/>
              </w:rPr>
              <w:t xml:space="preserve"> p</w:t>
            </w:r>
            <w:r w:rsidR="006822F7">
              <w:rPr>
                <w:rFonts w:asciiTheme="minorHAnsi" w:hAnsiTheme="minorHAnsi"/>
                <w:i/>
                <w:color w:val="000000" w:themeColor="text1"/>
                <w:lang w:val="sq-AL"/>
              </w:rPr>
              <w:t>ë</w:t>
            </w:r>
            <w:r w:rsidR="00AC69F6">
              <w:rPr>
                <w:rFonts w:asciiTheme="minorHAnsi" w:hAnsiTheme="minorHAnsi"/>
                <w:i/>
                <w:color w:val="000000" w:themeColor="text1"/>
                <w:lang w:val="sq-AL"/>
              </w:rPr>
              <w:t>r</w:t>
            </w:r>
            <w:r w:rsidRPr="009A66BD">
              <w:rPr>
                <w:rFonts w:asciiTheme="minorHAnsi" w:hAnsiTheme="minorHAnsi"/>
                <w:i/>
                <w:color w:val="000000" w:themeColor="text1"/>
                <w:lang w:val="sq-AL"/>
              </w:rPr>
              <w:t xml:space="preserve"> </w:t>
            </w:r>
            <w:r w:rsidR="00AC69F6">
              <w:rPr>
                <w:rFonts w:asciiTheme="minorHAnsi" w:hAnsiTheme="minorHAnsi"/>
                <w:i/>
                <w:color w:val="000000" w:themeColor="text1"/>
                <w:lang w:val="sq-AL"/>
              </w:rPr>
              <w:t xml:space="preserve"> komunitetin e </w:t>
            </w:r>
            <w:r w:rsidRPr="009A66BD">
              <w:rPr>
                <w:rFonts w:asciiTheme="minorHAnsi" w:hAnsiTheme="minorHAnsi"/>
                <w:i/>
                <w:color w:val="000000" w:themeColor="text1"/>
                <w:lang w:val="sq-AL"/>
              </w:rPr>
              <w:t>biznesit</w:t>
            </w:r>
            <w:r w:rsidR="003002DE" w:rsidRPr="009A66BD">
              <w:rPr>
                <w:rFonts w:asciiTheme="minorHAnsi" w:hAnsiTheme="minorHAnsi"/>
                <w:i/>
                <w:color w:val="000000" w:themeColor="text1"/>
                <w:lang w:val="sq-AL"/>
              </w:rPr>
              <w:t>.</w:t>
            </w:r>
          </w:p>
          <w:p w14:paraId="76565DFA" w14:textId="4BCF723E" w:rsidR="0008605B" w:rsidRPr="009A66BD" w:rsidRDefault="00770131" w:rsidP="00AC69F6">
            <w:pPr>
              <w:spacing w:after="120" w:line="240" w:lineRule="auto"/>
              <w:ind w:firstLine="0"/>
              <w:jc w:val="left"/>
              <w:rPr>
                <w:rFonts w:asciiTheme="minorHAnsi" w:eastAsiaTheme="minorEastAsia" w:hAnsiTheme="minorHAnsi" w:cstheme="minorHAnsi"/>
                <w:szCs w:val="20"/>
                <w:lang w:val="sq-AL"/>
              </w:rPr>
            </w:pPr>
            <w:r w:rsidRPr="009A66BD">
              <w:rPr>
                <w:rFonts w:asciiTheme="minorHAnsi" w:hAnsiTheme="minorHAnsi"/>
                <w:i/>
                <w:color w:val="000000" w:themeColor="text1"/>
                <w:lang w:val="sq-AL"/>
              </w:rPr>
              <w:t>"Portali R</w:t>
            </w:r>
            <w:r w:rsidR="00AC69F6">
              <w:rPr>
                <w:rFonts w:asciiTheme="minorHAnsi" w:hAnsiTheme="minorHAnsi"/>
                <w:i/>
                <w:color w:val="000000" w:themeColor="text1"/>
                <w:lang w:val="sq-AL"/>
              </w:rPr>
              <w:t xml:space="preserve">ajonal i Regjistrave </w:t>
            </w:r>
            <w:r w:rsidRPr="009A66BD">
              <w:rPr>
                <w:rFonts w:asciiTheme="minorHAnsi" w:hAnsiTheme="minorHAnsi"/>
                <w:i/>
                <w:color w:val="000000" w:themeColor="text1"/>
                <w:lang w:val="sq-AL"/>
              </w:rPr>
              <w:t xml:space="preserve">të Bizneseve të </w:t>
            </w:r>
            <w:r w:rsidR="00AC69F6">
              <w:rPr>
                <w:rFonts w:asciiTheme="minorHAnsi" w:hAnsiTheme="minorHAnsi"/>
                <w:i/>
                <w:color w:val="000000" w:themeColor="text1"/>
                <w:lang w:val="sq-AL"/>
              </w:rPr>
              <w:t>EJL</w:t>
            </w:r>
            <w:r w:rsidRPr="009A66BD">
              <w:rPr>
                <w:rFonts w:asciiTheme="minorHAnsi" w:hAnsiTheme="minorHAnsi"/>
                <w:i/>
                <w:color w:val="000000" w:themeColor="text1"/>
                <w:lang w:val="sq-AL"/>
              </w:rPr>
              <w:t>" do të lehtësojë aktivitetet ekonomike ndërkufitare duke rritur transparencën dhe duke mundësuar qasje në informacionet rreth kompanive në vendet e tjera</w:t>
            </w:r>
            <w:r w:rsidR="0008605B" w:rsidRPr="009A66BD">
              <w:rPr>
                <w:rFonts w:asciiTheme="minorHAnsi" w:hAnsiTheme="minorHAnsi"/>
                <w:i/>
                <w:color w:val="000000" w:themeColor="text1"/>
                <w:lang w:val="sq-AL"/>
              </w:rPr>
              <w:t xml:space="preserve">. </w:t>
            </w:r>
            <w:r w:rsidR="00FB4E4E" w:rsidRPr="009A66BD">
              <w:rPr>
                <w:rFonts w:asciiTheme="minorHAnsi" w:hAnsiTheme="minorHAnsi"/>
                <w:i/>
                <w:color w:val="000000" w:themeColor="text1"/>
                <w:lang w:val="sq-AL"/>
              </w:rPr>
              <w:t xml:space="preserve">Përmirësimi i qasjes në informata të përditësuara dhe të besueshme rreth kompanive do të nxiste </w:t>
            </w:r>
            <w:r w:rsidR="00FB4E4E" w:rsidRPr="009A66BD">
              <w:rPr>
                <w:rFonts w:asciiTheme="minorHAnsi" w:hAnsiTheme="minorHAnsi"/>
                <w:i/>
                <w:color w:val="000000" w:themeColor="text1"/>
                <w:lang w:val="sq-AL"/>
              </w:rPr>
              <w:lastRenderedPageBreak/>
              <w:t>besim më të madh në treg, do të ndihmonte në rimëkëmbjen dhe në rritjen e konkurrencës së bizneseve në Ballkanin Perëndimor dhe në Evropën Juglindore.</w:t>
            </w:r>
          </w:p>
        </w:tc>
      </w:tr>
      <w:tr w:rsidR="00027B33" w:rsidRPr="00612497" w14:paraId="1D17A808" w14:textId="77777777" w:rsidTr="00B33697">
        <w:trPr>
          <w:trHeight w:val="2215"/>
        </w:trPr>
        <w:tc>
          <w:tcPr>
            <w:tcW w:w="2335" w:type="dxa"/>
            <w:vMerge/>
          </w:tcPr>
          <w:p w14:paraId="638AAFE2" w14:textId="77777777" w:rsidR="00027B33" w:rsidRPr="009A66BD" w:rsidRDefault="00027B33" w:rsidP="00027B33">
            <w:pPr>
              <w:spacing w:after="120" w:line="240" w:lineRule="auto"/>
              <w:ind w:left="520" w:firstLine="0"/>
              <w:jc w:val="left"/>
              <w:rPr>
                <w:rFonts w:asciiTheme="minorHAnsi" w:eastAsiaTheme="minorHAnsi" w:hAnsiTheme="minorHAnsi" w:cstheme="minorHAnsi"/>
                <w:szCs w:val="20"/>
                <w:lang w:val="sq-AL"/>
              </w:rPr>
            </w:pPr>
          </w:p>
        </w:tc>
        <w:tc>
          <w:tcPr>
            <w:tcW w:w="2610" w:type="dxa"/>
          </w:tcPr>
          <w:p w14:paraId="5A8A6923" w14:textId="3AEFCB08" w:rsidR="00027B33" w:rsidRPr="009A66BD" w:rsidRDefault="009D2353" w:rsidP="00AC69F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2.1.4</w:t>
            </w:r>
            <w:r w:rsidR="00027B33" w:rsidRPr="009A66BD">
              <w:rPr>
                <w:rFonts w:asciiTheme="minorHAnsi" w:eastAsiaTheme="minorEastAsia" w:hAnsiTheme="minorHAnsi" w:cstheme="minorHAnsi"/>
                <w:szCs w:val="20"/>
                <w:lang w:val="sq-AL"/>
              </w:rPr>
              <w:t xml:space="preserve">. </w:t>
            </w:r>
            <w:r w:rsidR="00B81307" w:rsidRPr="009A66BD">
              <w:rPr>
                <w:rFonts w:asciiTheme="minorHAnsi" w:eastAsiaTheme="minorEastAsia" w:hAnsiTheme="minorHAnsi" w:cstheme="minorHAnsi"/>
                <w:szCs w:val="20"/>
                <w:lang w:val="sq-AL"/>
              </w:rPr>
              <w:t>Anëtarësimi</w:t>
            </w:r>
            <w:r w:rsidR="00D16654" w:rsidRPr="009A66BD">
              <w:rPr>
                <w:rFonts w:asciiTheme="minorHAnsi" w:eastAsiaTheme="minorEastAsia" w:hAnsiTheme="minorHAnsi" w:cstheme="minorHAnsi"/>
                <w:szCs w:val="20"/>
                <w:lang w:val="sq-AL"/>
              </w:rPr>
              <w:t xml:space="preserve"> në "Portalin R</w:t>
            </w:r>
            <w:r w:rsidR="00AC69F6">
              <w:rPr>
                <w:rFonts w:asciiTheme="minorHAnsi" w:eastAsiaTheme="minorEastAsia" w:hAnsiTheme="minorHAnsi" w:cstheme="minorHAnsi"/>
                <w:szCs w:val="20"/>
                <w:lang w:val="sq-AL"/>
              </w:rPr>
              <w:t xml:space="preserve">ajonal </w:t>
            </w:r>
            <w:r w:rsidR="00D16654" w:rsidRPr="009A66BD">
              <w:rPr>
                <w:rFonts w:asciiTheme="minorHAnsi" w:eastAsiaTheme="minorEastAsia" w:hAnsiTheme="minorHAnsi" w:cstheme="minorHAnsi"/>
                <w:szCs w:val="20"/>
                <w:lang w:val="sq-AL"/>
              </w:rPr>
              <w:t>të Regjistr</w:t>
            </w:r>
            <w:r w:rsidR="00AC69F6">
              <w:rPr>
                <w:rFonts w:asciiTheme="minorHAnsi" w:eastAsiaTheme="minorEastAsia" w:hAnsiTheme="minorHAnsi" w:cstheme="minorHAnsi"/>
                <w:szCs w:val="20"/>
                <w:lang w:val="sq-AL"/>
              </w:rPr>
              <w:t xml:space="preserve">ave </w:t>
            </w:r>
            <w:r w:rsidR="00D16654" w:rsidRPr="009A66BD">
              <w:rPr>
                <w:rFonts w:asciiTheme="minorHAnsi" w:eastAsiaTheme="minorEastAsia" w:hAnsiTheme="minorHAnsi" w:cstheme="minorHAnsi"/>
                <w:szCs w:val="20"/>
                <w:lang w:val="sq-AL"/>
              </w:rPr>
              <w:t>të Bizneseve të EJL"</w:t>
            </w:r>
          </w:p>
        </w:tc>
        <w:tc>
          <w:tcPr>
            <w:tcW w:w="900" w:type="dxa"/>
          </w:tcPr>
          <w:p w14:paraId="0AF03D1C" w14:textId="6B08D211" w:rsidR="00027B33" w:rsidRPr="009A66BD" w:rsidRDefault="00DA335F"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Dhjetor</w:t>
            </w:r>
            <w:r w:rsidR="00027B33" w:rsidRPr="009A66BD">
              <w:rPr>
                <w:rFonts w:asciiTheme="minorHAnsi" w:eastAsiaTheme="minorEastAsia" w:hAnsiTheme="minorHAnsi" w:cstheme="minorHAnsi"/>
                <w:szCs w:val="20"/>
                <w:lang w:val="sq-AL"/>
              </w:rPr>
              <w:t xml:space="preserve"> </w:t>
            </w:r>
            <w:r w:rsidR="00746676" w:rsidRPr="009A66BD">
              <w:rPr>
                <w:rFonts w:asciiTheme="minorHAnsi" w:eastAsiaTheme="minorEastAsia" w:hAnsiTheme="minorHAnsi" w:cstheme="minorHAnsi"/>
                <w:szCs w:val="20"/>
                <w:lang w:val="sq-AL"/>
              </w:rPr>
              <w:t>2019</w:t>
            </w:r>
          </w:p>
        </w:tc>
        <w:tc>
          <w:tcPr>
            <w:tcW w:w="1260" w:type="dxa"/>
          </w:tcPr>
          <w:p w14:paraId="3D650309" w14:textId="2CEA4257" w:rsidR="00027B33" w:rsidRPr="009A66BD" w:rsidRDefault="005B2877"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ARBK</w:t>
            </w:r>
            <w:r w:rsidR="0020084D" w:rsidRPr="009A66BD">
              <w:rPr>
                <w:rFonts w:asciiTheme="minorHAnsi" w:eastAsiaTheme="minorEastAsia" w:hAnsiTheme="minorHAnsi" w:cstheme="minorHAnsi"/>
                <w:szCs w:val="20"/>
                <w:lang w:val="sq-AL"/>
              </w:rPr>
              <w:t>*</w:t>
            </w:r>
          </w:p>
        </w:tc>
        <w:tc>
          <w:tcPr>
            <w:tcW w:w="1980" w:type="dxa"/>
          </w:tcPr>
          <w:p w14:paraId="67323C05" w14:textId="6FDEDDCC" w:rsidR="00027B33" w:rsidRPr="009A66BD" w:rsidRDefault="00435D18" w:rsidP="00AC69F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2"/>
                <w:lang w:val="sq-AL"/>
              </w:rPr>
              <w:t>Marrëveshja për themelimin dhe menaxhimin e Portalit R</w:t>
            </w:r>
            <w:r w:rsidR="00AC69F6">
              <w:rPr>
                <w:rFonts w:asciiTheme="minorHAnsi" w:eastAsiaTheme="minorEastAsia" w:hAnsiTheme="minorHAnsi" w:cstheme="minorHAnsi"/>
                <w:szCs w:val="22"/>
                <w:lang w:val="sq-AL"/>
              </w:rPr>
              <w:t>ajonal t</w:t>
            </w:r>
            <w:r w:rsidR="006822F7">
              <w:rPr>
                <w:rFonts w:asciiTheme="minorHAnsi" w:eastAsiaTheme="minorEastAsia" w:hAnsiTheme="minorHAnsi" w:cstheme="minorHAnsi"/>
                <w:szCs w:val="22"/>
                <w:lang w:val="sq-AL"/>
              </w:rPr>
              <w:t>ë</w:t>
            </w:r>
            <w:r w:rsidR="00AC69F6">
              <w:rPr>
                <w:rFonts w:asciiTheme="minorHAnsi" w:eastAsiaTheme="minorEastAsia" w:hAnsiTheme="minorHAnsi" w:cstheme="minorHAnsi"/>
                <w:szCs w:val="22"/>
                <w:lang w:val="sq-AL"/>
              </w:rPr>
              <w:t xml:space="preserve"> </w:t>
            </w:r>
            <w:r w:rsidRPr="009A66BD">
              <w:rPr>
                <w:rFonts w:asciiTheme="minorHAnsi" w:eastAsiaTheme="minorEastAsia" w:hAnsiTheme="minorHAnsi" w:cstheme="minorHAnsi"/>
                <w:szCs w:val="22"/>
                <w:lang w:val="sq-AL"/>
              </w:rPr>
              <w:t xml:space="preserve"> </w:t>
            </w:r>
            <w:r w:rsidR="00AC69F6">
              <w:rPr>
                <w:rFonts w:asciiTheme="minorHAnsi" w:eastAsiaTheme="minorEastAsia" w:hAnsiTheme="minorHAnsi" w:cstheme="minorHAnsi"/>
                <w:szCs w:val="22"/>
                <w:lang w:val="sq-AL"/>
              </w:rPr>
              <w:t>Regjistrave t</w:t>
            </w:r>
            <w:r w:rsidR="006822F7">
              <w:rPr>
                <w:rFonts w:asciiTheme="minorHAnsi" w:eastAsiaTheme="minorEastAsia" w:hAnsiTheme="minorHAnsi" w:cstheme="minorHAnsi"/>
                <w:szCs w:val="22"/>
                <w:lang w:val="sq-AL"/>
              </w:rPr>
              <w:t>ë</w:t>
            </w:r>
            <w:r w:rsidR="00AC69F6">
              <w:rPr>
                <w:rFonts w:asciiTheme="minorHAnsi" w:eastAsiaTheme="minorEastAsia" w:hAnsiTheme="minorHAnsi" w:cstheme="minorHAnsi"/>
                <w:szCs w:val="22"/>
                <w:lang w:val="sq-AL"/>
              </w:rPr>
              <w:t xml:space="preserve"> </w:t>
            </w:r>
            <w:r w:rsidRPr="009A66BD">
              <w:rPr>
                <w:rFonts w:asciiTheme="minorHAnsi" w:eastAsiaTheme="minorEastAsia" w:hAnsiTheme="minorHAnsi" w:cstheme="minorHAnsi"/>
                <w:szCs w:val="22"/>
                <w:lang w:val="sq-AL"/>
              </w:rPr>
              <w:t>Bizneseve të Evropës Juglindore</w:t>
            </w:r>
            <w:r w:rsidR="00027B33" w:rsidRPr="009A66BD">
              <w:rPr>
                <w:rFonts w:asciiTheme="minorHAnsi" w:eastAsiaTheme="minorEastAsia" w:hAnsiTheme="minorHAnsi" w:cstheme="minorHAnsi"/>
                <w:szCs w:val="22"/>
                <w:lang w:val="sq-AL"/>
              </w:rPr>
              <w:t>.</w:t>
            </w:r>
          </w:p>
        </w:tc>
        <w:tc>
          <w:tcPr>
            <w:tcW w:w="1800" w:type="dxa"/>
          </w:tcPr>
          <w:p w14:paraId="0D357E29" w14:textId="27B3C1FF" w:rsidR="00027B33" w:rsidRPr="009A66BD" w:rsidRDefault="009903D4"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BERZH</w:t>
            </w:r>
            <w:r w:rsidR="00746676" w:rsidRPr="009A66BD">
              <w:rPr>
                <w:rFonts w:asciiTheme="minorHAnsi" w:eastAsiaTheme="minorEastAsia" w:hAnsiTheme="minorHAnsi" w:cstheme="minorHAnsi"/>
                <w:szCs w:val="20"/>
                <w:lang w:val="sq-AL"/>
              </w:rPr>
              <w:t xml:space="preserve"> / </w:t>
            </w:r>
            <w:r w:rsidRPr="009A66BD">
              <w:rPr>
                <w:rFonts w:asciiTheme="minorHAnsi" w:hAnsiTheme="minorHAnsi" w:cstheme="minorHAnsi"/>
                <w:sz w:val="18"/>
                <w:lang w:val="sq-AL"/>
              </w:rPr>
              <w:t>KBR</w:t>
            </w:r>
          </w:p>
        </w:tc>
        <w:tc>
          <w:tcPr>
            <w:tcW w:w="3960" w:type="dxa"/>
          </w:tcPr>
          <w:p w14:paraId="5835A56A" w14:textId="7BC2D161" w:rsidR="00027B33" w:rsidRPr="009A66BD" w:rsidRDefault="00762E3D" w:rsidP="00027B33">
            <w:pPr>
              <w:spacing w:after="120" w:line="240" w:lineRule="auto"/>
              <w:ind w:firstLine="0"/>
              <w:jc w:val="left"/>
              <w:rPr>
                <w:rFonts w:asciiTheme="minorHAnsi" w:eastAsiaTheme="minorEastAsia" w:hAnsiTheme="minorHAnsi" w:cstheme="minorHAnsi"/>
                <w:i/>
                <w:szCs w:val="20"/>
                <w:lang w:val="sq-AL"/>
              </w:rPr>
            </w:pPr>
            <w:r w:rsidRPr="009A66BD">
              <w:rPr>
                <w:rFonts w:asciiTheme="minorHAnsi" w:hAnsiTheme="minorHAnsi" w:cstheme="minorHAnsi"/>
                <w:i/>
                <w:color w:val="000000" w:themeColor="text1"/>
                <w:lang w:val="sq-AL"/>
              </w:rPr>
              <w:t>BERZH ka shprehur gatishmërinë e saj për të mbështetur financiarisht bashkimin e të gjitha ekonomive të tjera rajonale në Marrëveshjen që do të nënshkruhet fillimisht nga SBRA dhe CRRM</w:t>
            </w:r>
            <w:r w:rsidR="00027B33" w:rsidRPr="009A66BD">
              <w:rPr>
                <w:rFonts w:asciiTheme="minorHAnsi" w:hAnsiTheme="minorHAnsi" w:cstheme="minorHAnsi"/>
                <w:i/>
                <w:color w:val="000000" w:themeColor="text1"/>
                <w:lang w:val="sq-AL"/>
              </w:rPr>
              <w:t>.</w:t>
            </w:r>
          </w:p>
        </w:tc>
      </w:tr>
      <w:tr w:rsidR="00027B33" w:rsidRPr="00612497" w14:paraId="7EE97295" w14:textId="6125F0F3" w:rsidTr="00B33697">
        <w:trPr>
          <w:cnfStyle w:val="000000100000" w:firstRow="0" w:lastRow="0" w:firstColumn="0" w:lastColumn="0" w:oddVBand="0" w:evenVBand="0" w:oddHBand="1" w:evenHBand="0" w:firstRowFirstColumn="0" w:firstRowLastColumn="0" w:lastRowFirstColumn="0" w:lastRowLastColumn="0"/>
          <w:trHeight w:val="666"/>
        </w:trPr>
        <w:tc>
          <w:tcPr>
            <w:tcW w:w="2335" w:type="dxa"/>
            <w:vMerge w:val="restart"/>
          </w:tcPr>
          <w:p w14:paraId="6939DA01" w14:textId="1C815E50" w:rsidR="00027B33" w:rsidRPr="009A66BD" w:rsidRDefault="00027B33" w:rsidP="00922380">
            <w:pPr>
              <w:spacing w:after="120" w:line="240" w:lineRule="auto"/>
              <w:ind w:firstLine="0"/>
              <w:jc w:val="left"/>
              <w:rPr>
                <w:rFonts w:asciiTheme="majorHAnsi" w:eastAsiaTheme="minorEastAsia" w:hAnsiTheme="majorHAnsi" w:cstheme="majorHAnsi"/>
                <w:i/>
                <w:iCs/>
                <w:szCs w:val="20"/>
                <w:lang w:val="sq-AL"/>
              </w:rPr>
            </w:pPr>
            <w:r w:rsidRPr="009A66BD">
              <w:rPr>
                <w:rFonts w:asciiTheme="majorHAnsi" w:eastAsiaTheme="minorEastAsia" w:hAnsiTheme="majorHAnsi" w:cstheme="majorHAnsi"/>
                <w:i/>
                <w:iCs/>
                <w:szCs w:val="20"/>
                <w:lang w:val="sq-AL"/>
              </w:rPr>
              <w:t xml:space="preserve">2.2 </w:t>
            </w:r>
            <w:r w:rsidR="00922380" w:rsidRPr="009A66BD">
              <w:rPr>
                <w:rFonts w:asciiTheme="majorHAnsi" w:eastAsiaTheme="minorEastAsia" w:hAnsiTheme="majorHAnsi" w:cstheme="majorHAnsi"/>
                <w:i/>
                <w:iCs/>
                <w:szCs w:val="20"/>
                <w:lang w:val="sq-AL"/>
              </w:rPr>
              <w:t>Krahasimi</w:t>
            </w:r>
            <w:r w:rsidR="00E87CCD">
              <w:rPr>
                <w:rFonts w:asciiTheme="majorHAnsi" w:eastAsiaTheme="minorEastAsia" w:hAnsiTheme="majorHAnsi" w:cstheme="majorHAnsi"/>
                <w:i/>
                <w:iCs/>
                <w:szCs w:val="20"/>
                <w:lang w:val="sq-AL"/>
              </w:rPr>
              <w:t>,</w:t>
            </w:r>
            <w:r w:rsidR="00003953" w:rsidRPr="009A66BD">
              <w:rPr>
                <w:rFonts w:asciiTheme="majorHAnsi" w:eastAsiaTheme="minorEastAsia" w:hAnsiTheme="majorHAnsi" w:cstheme="majorHAnsi"/>
                <w:i/>
                <w:iCs/>
                <w:szCs w:val="20"/>
                <w:lang w:val="sq-AL"/>
              </w:rPr>
              <w:t xml:space="preserve"> shqyrti</w:t>
            </w:r>
            <w:r w:rsidR="00922380" w:rsidRPr="009A66BD">
              <w:rPr>
                <w:rFonts w:asciiTheme="majorHAnsi" w:eastAsiaTheme="minorEastAsia" w:hAnsiTheme="majorHAnsi" w:cstheme="majorHAnsi"/>
                <w:i/>
                <w:iCs/>
                <w:szCs w:val="20"/>
                <w:lang w:val="sq-AL"/>
              </w:rPr>
              <w:t>mi dhe përshtatja</w:t>
            </w:r>
            <w:r w:rsidR="00003953" w:rsidRPr="009A66BD">
              <w:rPr>
                <w:rFonts w:asciiTheme="majorHAnsi" w:eastAsiaTheme="minorEastAsia" w:hAnsiTheme="majorHAnsi" w:cstheme="majorHAnsi"/>
                <w:i/>
                <w:iCs/>
                <w:szCs w:val="20"/>
                <w:lang w:val="sq-AL"/>
              </w:rPr>
              <w:t xml:space="preserve"> aty ku është e mundur</w:t>
            </w:r>
            <w:r w:rsidR="00922380" w:rsidRPr="009A66BD">
              <w:rPr>
                <w:rFonts w:asciiTheme="majorHAnsi" w:eastAsiaTheme="minorEastAsia" w:hAnsiTheme="majorHAnsi" w:cstheme="majorHAnsi"/>
                <w:i/>
                <w:iCs/>
                <w:szCs w:val="20"/>
                <w:lang w:val="sq-AL"/>
              </w:rPr>
              <w:t xml:space="preserve"> e kërkesave të</w:t>
            </w:r>
            <w:r w:rsidR="00003953" w:rsidRPr="009A66BD">
              <w:rPr>
                <w:rFonts w:asciiTheme="majorHAnsi" w:eastAsiaTheme="minorEastAsia" w:hAnsiTheme="majorHAnsi" w:cstheme="majorHAnsi"/>
                <w:i/>
                <w:iCs/>
                <w:szCs w:val="20"/>
                <w:lang w:val="sq-AL"/>
              </w:rPr>
              <w:t xml:space="preserve"> regjistrimit të biznesit në nivel rajonal.</w:t>
            </w:r>
          </w:p>
        </w:tc>
        <w:tc>
          <w:tcPr>
            <w:tcW w:w="2610" w:type="dxa"/>
          </w:tcPr>
          <w:p w14:paraId="6B6D44B5" w14:textId="0F1AD793" w:rsidR="00027B33" w:rsidRPr="009A66BD" w:rsidRDefault="00027B33" w:rsidP="00E87C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2.2.1. </w:t>
            </w:r>
            <w:r w:rsidR="00922380" w:rsidRPr="009A66BD">
              <w:rPr>
                <w:rFonts w:asciiTheme="minorHAnsi" w:eastAsiaTheme="minorEastAsia" w:hAnsiTheme="minorHAnsi" w:cstheme="minorHAnsi"/>
                <w:szCs w:val="20"/>
                <w:lang w:val="sq-AL"/>
              </w:rPr>
              <w:t xml:space="preserve">Lehtësimi i një </w:t>
            </w:r>
            <w:r w:rsidR="00E87CCD">
              <w:rPr>
                <w:rFonts w:asciiTheme="minorHAnsi" w:eastAsiaTheme="minorEastAsia" w:hAnsiTheme="minorHAnsi" w:cstheme="minorHAnsi"/>
                <w:szCs w:val="20"/>
                <w:lang w:val="sq-AL"/>
              </w:rPr>
              <w:t>rishikimi n</w:t>
            </w:r>
            <w:r w:rsidR="006822F7">
              <w:rPr>
                <w:rFonts w:asciiTheme="minorHAnsi" w:eastAsiaTheme="minorEastAsia" w:hAnsiTheme="minorHAnsi" w:cstheme="minorHAnsi"/>
                <w:szCs w:val="20"/>
                <w:lang w:val="sq-AL"/>
              </w:rPr>
              <w:t>ë</w:t>
            </w:r>
            <w:r w:rsidR="00E87CCD">
              <w:rPr>
                <w:rFonts w:asciiTheme="minorHAnsi" w:eastAsiaTheme="minorEastAsia" w:hAnsiTheme="minorHAnsi" w:cstheme="minorHAnsi"/>
                <w:szCs w:val="20"/>
                <w:lang w:val="sq-AL"/>
              </w:rPr>
              <w:t xml:space="preserve"> nivel mbar</w:t>
            </w:r>
            <w:r w:rsidR="006822F7">
              <w:rPr>
                <w:rFonts w:asciiTheme="minorHAnsi" w:eastAsiaTheme="minorEastAsia" w:hAnsiTheme="minorHAnsi" w:cstheme="minorHAnsi"/>
                <w:szCs w:val="20"/>
                <w:lang w:val="sq-AL"/>
              </w:rPr>
              <w:t>ë</w:t>
            </w:r>
            <w:r w:rsidR="00E87CCD">
              <w:rPr>
                <w:rFonts w:asciiTheme="minorHAnsi" w:eastAsiaTheme="minorEastAsia" w:hAnsiTheme="minorHAnsi" w:cstheme="minorHAnsi"/>
                <w:szCs w:val="20"/>
                <w:lang w:val="sq-AL"/>
              </w:rPr>
              <w:t xml:space="preserve">-rajonal  </w:t>
            </w:r>
            <w:r w:rsidR="00922380" w:rsidRPr="009A66BD">
              <w:rPr>
                <w:rFonts w:asciiTheme="minorHAnsi" w:eastAsiaTheme="minorEastAsia" w:hAnsiTheme="minorHAnsi" w:cstheme="minorHAnsi"/>
                <w:szCs w:val="20"/>
                <w:lang w:val="sq-AL"/>
              </w:rPr>
              <w:t>dhe krahasimi i kërkesave për regjistrimin e biznesit duke ndarë informacionin relevant</w:t>
            </w:r>
            <w:r w:rsidRPr="009A66BD">
              <w:rPr>
                <w:rFonts w:asciiTheme="minorHAnsi" w:eastAsiaTheme="minorEastAsia" w:hAnsiTheme="minorHAnsi" w:cstheme="minorHAnsi"/>
                <w:szCs w:val="20"/>
                <w:lang w:val="sq-AL"/>
              </w:rPr>
              <w:t>.</w:t>
            </w:r>
          </w:p>
        </w:tc>
        <w:tc>
          <w:tcPr>
            <w:tcW w:w="900" w:type="dxa"/>
          </w:tcPr>
          <w:p w14:paraId="1AC23596" w14:textId="1593F595" w:rsidR="00027B33" w:rsidRPr="009A66BD" w:rsidRDefault="00DA335F" w:rsidP="00027B33">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p>
          <w:p w14:paraId="59F1C69E" w14:textId="278E6EF8" w:rsidR="00027B33" w:rsidRPr="009A66BD" w:rsidRDefault="00027B33" w:rsidP="00027B33">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2019</w:t>
            </w:r>
          </w:p>
        </w:tc>
        <w:tc>
          <w:tcPr>
            <w:tcW w:w="1260" w:type="dxa"/>
          </w:tcPr>
          <w:p w14:paraId="2B5D86C6" w14:textId="32D4FA46" w:rsidR="00027B33" w:rsidRPr="009A66BD" w:rsidRDefault="005B2877" w:rsidP="00027B33">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szCs w:val="20"/>
                <w:lang w:val="sq-AL"/>
              </w:rPr>
              <w:t>KIESA*</w:t>
            </w:r>
          </w:p>
        </w:tc>
        <w:tc>
          <w:tcPr>
            <w:tcW w:w="1980" w:type="dxa"/>
          </w:tcPr>
          <w:p w14:paraId="3E081892" w14:textId="624A8880" w:rsidR="00027B33" w:rsidRPr="009A66BD" w:rsidRDefault="004F257F" w:rsidP="00E87C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Një raport përmbledhës që </w:t>
            </w:r>
            <w:r w:rsidR="00E87CCD">
              <w:rPr>
                <w:rFonts w:asciiTheme="minorHAnsi" w:eastAsiaTheme="minorEastAsia" w:hAnsiTheme="minorHAnsi" w:cstheme="minorHAnsi"/>
                <w:szCs w:val="20"/>
                <w:lang w:val="sq-AL"/>
              </w:rPr>
              <w:t xml:space="preserve">liston </w:t>
            </w:r>
            <w:r w:rsidRPr="009A66BD">
              <w:rPr>
                <w:rFonts w:asciiTheme="minorHAnsi" w:eastAsiaTheme="minorEastAsia" w:hAnsiTheme="minorHAnsi" w:cstheme="minorHAnsi"/>
                <w:szCs w:val="20"/>
                <w:lang w:val="sq-AL"/>
              </w:rPr>
              <w:t xml:space="preserve">kërkesat e regjistrimit të biznesit për t'u krahasuar sipas </w:t>
            </w:r>
            <w:r w:rsidR="00E87CCD">
              <w:rPr>
                <w:rFonts w:asciiTheme="minorHAnsi" w:eastAsiaTheme="minorEastAsia" w:hAnsiTheme="minorHAnsi" w:cstheme="minorHAnsi"/>
                <w:szCs w:val="20"/>
                <w:lang w:val="sq-AL"/>
              </w:rPr>
              <w:t xml:space="preserve">rishikimit </w:t>
            </w:r>
            <w:r w:rsidRPr="009A66BD">
              <w:rPr>
                <w:rFonts w:asciiTheme="minorHAnsi" w:eastAsiaTheme="minorEastAsia" w:hAnsiTheme="minorHAnsi" w:cstheme="minorHAnsi"/>
                <w:szCs w:val="20"/>
                <w:lang w:val="sq-AL"/>
              </w:rPr>
              <w:t>rajonal</w:t>
            </w:r>
            <w:r w:rsidR="00027B33" w:rsidRPr="009A66BD">
              <w:rPr>
                <w:rFonts w:asciiTheme="minorHAnsi" w:eastAsiaTheme="minorEastAsia" w:hAnsiTheme="minorHAnsi" w:cstheme="minorHAnsi"/>
                <w:szCs w:val="20"/>
                <w:lang w:val="sq-AL"/>
              </w:rPr>
              <w:t>.</w:t>
            </w:r>
          </w:p>
        </w:tc>
        <w:tc>
          <w:tcPr>
            <w:tcW w:w="1800" w:type="dxa"/>
          </w:tcPr>
          <w:p w14:paraId="2EF16CD8" w14:textId="41D1C701" w:rsidR="00027B33" w:rsidRPr="009A66BD" w:rsidRDefault="009903D4" w:rsidP="00027B3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3960" w:type="dxa"/>
          </w:tcPr>
          <w:p w14:paraId="32BD331E" w14:textId="4C6A2B76" w:rsidR="00027B33" w:rsidRPr="009A66BD" w:rsidRDefault="00AC7D65" w:rsidP="00027B33">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Një listë </w:t>
            </w:r>
            <w:r w:rsidR="00E87CCD">
              <w:rPr>
                <w:rFonts w:asciiTheme="minorHAnsi" w:eastAsiaTheme="minorEastAsia" w:hAnsiTheme="minorHAnsi" w:cstheme="minorHAnsi"/>
                <w:i/>
                <w:szCs w:val="20"/>
                <w:lang w:val="sq-AL"/>
              </w:rPr>
              <w:t xml:space="preserve">indikativë </w:t>
            </w:r>
            <w:r w:rsidRPr="009A66BD">
              <w:rPr>
                <w:rFonts w:asciiTheme="minorHAnsi" w:eastAsiaTheme="minorEastAsia" w:hAnsiTheme="minorHAnsi" w:cstheme="minorHAnsi"/>
                <w:i/>
                <w:szCs w:val="20"/>
                <w:lang w:val="sq-AL"/>
              </w:rPr>
              <w:t xml:space="preserve">e kërkesave për regjistrimin e biznesit që do të krahasohet sipas </w:t>
            </w:r>
            <w:r w:rsidR="00E87CCD">
              <w:rPr>
                <w:rFonts w:asciiTheme="minorHAnsi" w:eastAsiaTheme="minorEastAsia" w:hAnsiTheme="minorHAnsi" w:cstheme="minorHAnsi"/>
                <w:i/>
                <w:szCs w:val="20"/>
                <w:lang w:val="sq-AL"/>
              </w:rPr>
              <w:t xml:space="preserve">rishikimit </w:t>
            </w:r>
            <w:r w:rsidRPr="009A66BD">
              <w:rPr>
                <w:rFonts w:asciiTheme="minorHAnsi" w:eastAsiaTheme="minorEastAsia" w:hAnsiTheme="minorHAnsi" w:cstheme="minorHAnsi"/>
                <w:i/>
                <w:szCs w:val="20"/>
                <w:lang w:val="sq-AL"/>
              </w:rPr>
              <w:t>rajonal është e përfshirë në Shtojcë</w:t>
            </w:r>
            <w:r w:rsidR="00027B33" w:rsidRPr="009A66BD">
              <w:rPr>
                <w:rFonts w:asciiTheme="minorHAnsi" w:eastAsiaTheme="minorEastAsia" w:hAnsiTheme="minorHAnsi" w:cstheme="minorHAnsi"/>
                <w:i/>
                <w:szCs w:val="20"/>
                <w:lang w:val="sq-AL"/>
              </w:rPr>
              <w:t>.</w:t>
            </w:r>
          </w:p>
          <w:p w14:paraId="0799752B" w14:textId="7150A0BF" w:rsidR="00D360F8" w:rsidRPr="009A66BD" w:rsidRDefault="00792A30" w:rsidP="00E87C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20"/>
                <w:lang w:val="sq-AL"/>
              </w:rPr>
              <w:t xml:space="preserve">Mbështetja e </w:t>
            </w:r>
            <w:r w:rsidR="008D5E84">
              <w:rPr>
                <w:rFonts w:asciiTheme="minorHAnsi" w:eastAsiaTheme="minorEastAsia" w:hAnsiTheme="minorHAnsi" w:cstheme="minorBidi"/>
                <w:i/>
                <w:szCs w:val="20"/>
                <w:lang w:val="sq-AL"/>
              </w:rPr>
              <w:t>GBB</w:t>
            </w:r>
            <w:r w:rsidRPr="009A66BD">
              <w:rPr>
                <w:rFonts w:asciiTheme="minorHAnsi" w:eastAsiaTheme="minorEastAsia" w:hAnsiTheme="minorHAnsi" w:cstheme="minorBidi"/>
                <w:i/>
                <w:szCs w:val="20"/>
                <w:lang w:val="sq-AL"/>
              </w:rPr>
              <w:t xml:space="preserve"> do të ofrohet për </w:t>
            </w:r>
            <w:r w:rsidR="00E87CCD">
              <w:rPr>
                <w:rFonts w:asciiTheme="minorHAnsi" w:eastAsiaTheme="minorEastAsia" w:hAnsiTheme="minorHAnsi" w:cstheme="minorBidi"/>
                <w:i/>
                <w:szCs w:val="20"/>
                <w:lang w:val="sq-AL"/>
              </w:rPr>
              <w:t xml:space="preserve">rishikimin </w:t>
            </w:r>
            <w:r w:rsidRPr="009A66BD">
              <w:rPr>
                <w:rFonts w:asciiTheme="minorHAnsi" w:eastAsiaTheme="minorEastAsia" w:hAnsiTheme="minorHAnsi" w:cstheme="minorBidi"/>
                <w:i/>
                <w:szCs w:val="20"/>
                <w:lang w:val="sq-AL"/>
              </w:rPr>
              <w:t xml:space="preserve"> rajonal</w:t>
            </w:r>
            <w:r w:rsidR="00D360F8" w:rsidRPr="009A66BD">
              <w:rPr>
                <w:rFonts w:asciiTheme="minorHAnsi" w:eastAsiaTheme="minorEastAsia" w:hAnsiTheme="minorHAnsi" w:cstheme="minorBidi"/>
                <w:i/>
                <w:szCs w:val="20"/>
                <w:lang w:val="sq-AL"/>
              </w:rPr>
              <w:t>.</w:t>
            </w:r>
          </w:p>
        </w:tc>
      </w:tr>
      <w:tr w:rsidR="00D360F8" w:rsidRPr="00612497" w14:paraId="2DC12C9C" w14:textId="29CA5307" w:rsidTr="00BA035F">
        <w:trPr>
          <w:trHeight w:val="1585"/>
        </w:trPr>
        <w:tc>
          <w:tcPr>
            <w:tcW w:w="2335" w:type="dxa"/>
            <w:vMerge/>
          </w:tcPr>
          <w:p w14:paraId="5CDDAF58" w14:textId="77777777" w:rsidR="00D360F8" w:rsidRPr="009A66BD" w:rsidRDefault="00D360F8" w:rsidP="00D360F8">
            <w:pPr>
              <w:spacing w:after="120" w:line="240" w:lineRule="auto"/>
              <w:ind w:left="520" w:firstLine="0"/>
              <w:jc w:val="left"/>
              <w:rPr>
                <w:rFonts w:asciiTheme="majorHAnsi" w:eastAsiaTheme="minorHAnsi" w:hAnsiTheme="majorHAnsi" w:cstheme="majorHAnsi"/>
                <w:szCs w:val="20"/>
                <w:lang w:val="sq-AL"/>
              </w:rPr>
            </w:pPr>
          </w:p>
        </w:tc>
        <w:tc>
          <w:tcPr>
            <w:tcW w:w="2610" w:type="dxa"/>
          </w:tcPr>
          <w:p w14:paraId="3F9CAE7E" w14:textId="51D3D3BB" w:rsidR="00D360F8" w:rsidRPr="009A66BD" w:rsidRDefault="00D360F8"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2.2.2. </w:t>
            </w:r>
            <w:r w:rsidR="00045F5A" w:rsidRPr="009A66BD">
              <w:rPr>
                <w:rFonts w:asciiTheme="minorHAnsi" w:eastAsiaTheme="minorEastAsia" w:hAnsiTheme="minorHAnsi" w:cstheme="minorHAnsi"/>
                <w:szCs w:val="20"/>
                <w:lang w:val="sq-AL"/>
              </w:rPr>
              <w:t xml:space="preserve">Bazuar në </w:t>
            </w:r>
            <w:r w:rsidR="004C0ACD" w:rsidRPr="009A66BD">
              <w:rPr>
                <w:rFonts w:asciiTheme="minorHAnsi" w:eastAsiaTheme="minorEastAsia" w:hAnsiTheme="minorHAnsi" w:cstheme="minorHAnsi"/>
                <w:szCs w:val="20"/>
                <w:lang w:val="sq-AL"/>
              </w:rPr>
              <w:t>Pikën</w:t>
            </w:r>
            <w:r w:rsidR="00045F5A" w:rsidRPr="009A66BD">
              <w:rPr>
                <w:rFonts w:asciiTheme="minorHAnsi" w:eastAsiaTheme="minorEastAsia" w:hAnsiTheme="minorHAnsi" w:cstheme="minorHAnsi"/>
                <w:szCs w:val="20"/>
                <w:lang w:val="sq-AL"/>
              </w:rPr>
              <w:t xml:space="preserve"> 2.1.1 të PVRI-së, </w:t>
            </w:r>
            <w:proofErr w:type="spellStart"/>
            <w:r w:rsidR="00045F5A" w:rsidRPr="009A66BD">
              <w:rPr>
                <w:rFonts w:asciiTheme="minorHAnsi" w:eastAsiaTheme="minorEastAsia" w:hAnsiTheme="minorHAnsi" w:cstheme="minorHAnsi"/>
                <w:szCs w:val="20"/>
                <w:lang w:val="sq-AL"/>
              </w:rPr>
              <w:t>konsiderimi</w:t>
            </w:r>
            <w:proofErr w:type="spellEnd"/>
            <w:r w:rsidR="00045F5A" w:rsidRPr="009A66BD">
              <w:rPr>
                <w:rFonts w:asciiTheme="minorHAnsi" w:eastAsiaTheme="minorEastAsia" w:hAnsiTheme="minorHAnsi" w:cstheme="minorHAnsi"/>
                <w:szCs w:val="20"/>
                <w:lang w:val="sq-AL"/>
              </w:rPr>
              <w:t xml:space="preserve"> i harmonizimit të kërkesave për regjistrimin e biznesit dhe vendosja nëse do të ndiqni përpjekjet e </w:t>
            </w:r>
            <w:r w:rsidR="00045F5A" w:rsidRPr="009A66BD">
              <w:rPr>
                <w:rFonts w:asciiTheme="minorHAnsi" w:eastAsiaTheme="minorEastAsia" w:hAnsiTheme="minorHAnsi" w:cstheme="minorHAnsi"/>
                <w:szCs w:val="20"/>
                <w:lang w:val="sq-AL"/>
              </w:rPr>
              <w:lastRenderedPageBreak/>
              <w:t>mëtejshme për reforma</w:t>
            </w:r>
          </w:p>
        </w:tc>
        <w:tc>
          <w:tcPr>
            <w:tcW w:w="900" w:type="dxa"/>
          </w:tcPr>
          <w:p w14:paraId="78DEE459" w14:textId="07FD6635" w:rsidR="00D360F8" w:rsidRPr="009A66BD" w:rsidRDefault="00DA335F" w:rsidP="0074667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 xml:space="preserve">Dhjetor </w:t>
            </w:r>
            <w:r w:rsidR="00D360F8" w:rsidRPr="009A66BD">
              <w:rPr>
                <w:rFonts w:asciiTheme="minorHAnsi" w:eastAsiaTheme="minorEastAsia" w:hAnsiTheme="minorHAnsi" w:cstheme="minorHAnsi"/>
                <w:szCs w:val="20"/>
                <w:lang w:val="sq-AL"/>
              </w:rPr>
              <w:t>2019</w:t>
            </w:r>
          </w:p>
        </w:tc>
        <w:tc>
          <w:tcPr>
            <w:tcW w:w="1260" w:type="dxa"/>
          </w:tcPr>
          <w:p w14:paraId="19EB1C9A" w14:textId="5C8661E3" w:rsidR="00D360F8" w:rsidRPr="009A66BD" w:rsidRDefault="00C6749E"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Tregtisë dhe Industrisë</w:t>
            </w:r>
          </w:p>
        </w:tc>
        <w:tc>
          <w:tcPr>
            <w:tcW w:w="1980" w:type="dxa"/>
          </w:tcPr>
          <w:p w14:paraId="6BB4F392" w14:textId="10FACDF0" w:rsidR="00D360F8" w:rsidRPr="009A66BD" w:rsidRDefault="00A0520A" w:rsidP="00E87C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Vendimi </w:t>
            </w:r>
            <w:r w:rsidR="00E87CCD">
              <w:rPr>
                <w:rFonts w:asciiTheme="minorHAnsi" w:eastAsiaTheme="minorEastAsia" w:hAnsiTheme="minorHAnsi" w:cstheme="minorHAnsi"/>
                <w:szCs w:val="20"/>
                <w:lang w:val="sq-AL"/>
              </w:rPr>
              <w:t>mbi</w:t>
            </w:r>
            <w:r w:rsidRPr="009A66BD">
              <w:rPr>
                <w:rFonts w:asciiTheme="minorHAnsi" w:eastAsiaTheme="minorEastAsia" w:hAnsiTheme="minorHAnsi" w:cstheme="minorHAnsi"/>
                <w:szCs w:val="20"/>
                <w:lang w:val="sq-AL"/>
              </w:rPr>
              <w:t xml:space="preserve"> veprimet e vazhdueshme për reforma.</w:t>
            </w:r>
          </w:p>
        </w:tc>
        <w:tc>
          <w:tcPr>
            <w:tcW w:w="1800" w:type="dxa"/>
          </w:tcPr>
          <w:p w14:paraId="077EFD1E" w14:textId="1558970F" w:rsidR="00D360F8" w:rsidRPr="009A66BD" w:rsidRDefault="009903D4"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3960" w:type="dxa"/>
          </w:tcPr>
          <w:p w14:paraId="51DFF45B" w14:textId="284E6C2E" w:rsidR="00D360F8" w:rsidRPr="009A66BD" w:rsidRDefault="00A0520A" w:rsidP="00E87C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20"/>
                <w:lang w:val="sq-AL"/>
              </w:rPr>
              <w:t xml:space="preserve">Pas vendimit, autoritetet e Kosovës </w:t>
            </w:r>
            <w:r w:rsidR="00E87CCD" w:rsidRPr="00E87CCD">
              <w:rPr>
                <w:rFonts w:ascii="Calibri" w:hAnsi="Calibri"/>
                <w:i/>
                <w:szCs w:val="20"/>
                <w:lang w:val="en-US"/>
              </w:rPr>
              <w:t xml:space="preserve">* </w:t>
            </w:r>
            <w:r w:rsidRPr="009A66BD">
              <w:rPr>
                <w:rFonts w:asciiTheme="minorHAnsi" w:eastAsiaTheme="minorEastAsia" w:hAnsiTheme="minorHAnsi" w:cstheme="minorBidi"/>
                <w:i/>
                <w:szCs w:val="20"/>
                <w:lang w:val="sq-AL"/>
              </w:rPr>
              <w:t xml:space="preserve">do të përditësojnë këtë </w:t>
            </w:r>
            <w:r w:rsidR="00E87CCD">
              <w:rPr>
                <w:rFonts w:asciiTheme="minorHAnsi" w:eastAsiaTheme="minorEastAsia" w:hAnsiTheme="minorHAnsi" w:cstheme="minorBidi"/>
                <w:i/>
                <w:szCs w:val="20"/>
                <w:lang w:val="sq-AL"/>
              </w:rPr>
              <w:t xml:space="preserve">seksion </w:t>
            </w:r>
            <w:r w:rsidRPr="009A66BD">
              <w:rPr>
                <w:rFonts w:asciiTheme="minorHAnsi" w:eastAsiaTheme="minorEastAsia" w:hAnsiTheme="minorHAnsi" w:cstheme="minorBidi"/>
                <w:i/>
                <w:szCs w:val="20"/>
                <w:lang w:val="sq-AL"/>
              </w:rPr>
              <w:t xml:space="preserve">të PVRI-së në </w:t>
            </w:r>
            <w:r w:rsidR="00E87CCD">
              <w:rPr>
                <w:rFonts w:asciiTheme="minorHAnsi" w:eastAsiaTheme="minorEastAsia" w:hAnsiTheme="minorHAnsi" w:cstheme="minorBidi"/>
                <w:i/>
                <w:szCs w:val="20"/>
                <w:lang w:val="sq-AL"/>
              </w:rPr>
              <w:t>m</w:t>
            </w:r>
            <w:r w:rsidR="006822F7">
              <w:rPr>
                <w:rFonts w:asciiTheme="minorHAnsi" w:eastAsiaTheme="minorEastAsia" w:hAnsiTheme="minorHAnsi" w:cstheme="minorBidi"/>
                <w:i/>
                <w:szCs w:val="20"/>
                <w:lang w:val="sq-AL"/>
              </w:rPr>
              <w:t>ë</w:t>
            </w:r>
            <w:r w:rsidR="00E87CCD">
              <w:rPr>
                <w:rFonts w:asciiTheme="minorHAnsi" w:eastAsiaTheme="minorEastAsia" w:hAnsiTheme="minorHAnsi" w:cstheme="minorBidi"/>
                <w:i/>
                <w:szCs w:val="20"/>
                <w:lang w:val="sq-AL"/>
              </w:rPr>
              <w:t>nyr</w:t>
            </w:r>
            <w:r w:rsidR="006822F7">
              <w:rPr>
                <w:rFonts w:asciiTheme="minorHAnsi" w:eastAsiaTheme="minorEastAsia" w:hAnsiTheme="minorHAnsi" w:cstheme="minorBidi"/>
                <w:i/>
                <w:szCs w:val="20"/>
                <w:lang w:val="sq-AL"/>
              </w:rPr>
              <w:t>ë</w:t>
            </w:r>
            <w:r w:rsidR="00E87CCD">
              <w:rPr>
                <w:rFonts w:asciiTheme="minorHAnsi" w:eastAsiaTheme="minorEastAsia" w:hAnsiTheme="minorHAnsi" w:cstheme="minorBidi"/>
                <w:i/>
                <w:szCs w:val="20"/>
                <w:lang w:val="sq-AL"/>
              </w:rPr>
              <w:t xml:space="preserve"> p</w:t>
            </w:r>
            <w:r w:rsidR="006822F7">
              <w:rPr>
                <w:rFonts w:asciiTheme="minorHAnsi" w:eastAsiaTheme="minorEastAsia" w:hAnsiTheme="minorHAnsi" w:cstheme="minorBidi"/>
                <w:i/>
                <w:szCs w:val="20"/>
                <w:lang w:val="sq-AL"/>
              </w:rPr>
              <w:t>ë</w:t>
            </w:r>
            <w:r w:rsidR="00E87CCD">
              <w:rPr>
                <w:rFonts w:asciiTheme="minorHAnsi" w:eastAsiaTheme="minorEastAsia" w:hAnsiTheme="minorHAnsi" w:cstheme="minorBidi"/>
                <w:i/>
                <w:szCs w:val="20"/>
                <w:lang w:val="sq-AL"/>
              </w:rPr>
              <w:t>rkat</w:t>
            </w:r>
            <w:r w:rsidR="006822F7">
              <w:rPr>
                <w:rFonts w:asciiTheme="minorHAnsi" w:eastAsiaTheme="minorEastAsia" w:hAnsiTheme="minorHAnsi" w:cstheme="minorBidi"/>
                <w:i/>
                <w:szCs w:val="20"/>
                <w:lang w:val="sq-AL"/>
              </w:rPr>
              <w:t>ë</w:t>
            </w:r>
            <w:r w:rsidR="00E87CCD">
              <w:rPr>
                <w:rFonts w:asciiTheme="minorHAnsi" w:eastAsiaTheme="minorEastAsia" w:hAnsiTheme="minorHAnsi" w:cstheme="minorBidi"/>
                <w:i/>
                <w:szCs w:val="20"/>
                <w:lang w:val="sq-AL"/>
              </w:rPr>
              <w:t xml:space="preserve">se </w:t>
            </w:r>
            <w:r w:rsidRPr="009A66BD">
              <w:rPr>
                <w:rFonts w:asciiTheme="minorHAnsi" w:eastAsiaTheme="minorEastAsia" w:hAnsiTheme="minorHAnsi" w:cstheme="minorBidi"/>
                <w:i/>
                <w:szCs w:val="20"/>
                <w:lang w:val="sq-AL"/>
              </w:rPr>
              <w:t xml:space="preserve"> dhe do të specifikojnë / përshkruajnë më tej çdo përpjekje reformash që Qeveria synon të ndërmarrë sipas </w:t>
            </w:r>
            <w:r w:rsidR="004C0ACD" w:rsidRPr="009A66BD">
              <w:rPr>
                <w:rFonts w:asciiTheme="minorHAnsi" w:eastAsiaTheme="minorEastAsia" w:hAnsiTheme="minorHAnsi" w:cstheme="minorBidi"/>
                <w:i/>
                <w:szCs w:val="20"/>
                <w:lang w:val="sq-AL"/>
              </w:rPr>
              <w:t>pikës</w:t>
            </w:r>
            <w:r w:rsidRPr="009A66BD">
              <w:rPr>
                <w:rFonts w:asciiTheme="minorHAnsi" w:eastAsiaTheme="minorEastAsia" w:hAnsiTheme="minorHAnsi" w:cstheme="minorBidi"/>
                <w:i/>
                <w:szCs w:val="20"/>
                <w:lang w:val="sq-AL"/>
              </w:rPr>
              <w:t xml:space="preserve">  2.2.2 të PVRI-së.</w:t>
            </w:r>
          </w:p>
        </w:tc>
      </w:tr>
      <w:tr w:rsidR="003D1C69" w:rsidRPr="00612497" w14:paraId="3F21F47B" w14:textId="4C376ACA" w:rsidTr="00B33697">
        <w:trPr>
          <w:cnfStyle w:val="000000100000" w:firstRow="0" w:lastRow="0" w:firstColumn="0" w:lastColumn="0" w:oddVBand="0" w:evenVBand="0" w:oddHBand="1" w:evenHBand="0" w:firstRowFirstColumn="0" w:firstRowLastColumn="0" w:lastRowFirstColumn="0" w:lastRowLastColumn="0"/>
          <w:trHeight w:val="666"/>
        </w:trPr>
        <w:tc>
          <w:tcPr>
            <w:tcW w:w="2335" w:type="dxa"/>
            <w:vMerge w:val="restart"/>
          </w:tcPr>
          <w:p w14:paraId="06F59CA1" w14:textId="742012F8" w:rsidR="003D1C69" w:rsidRPr="009A66BD" w:rsidRDefault="003D1C69" w:rsidP="00E87CCD">
            <w:pPr>
              <w:spacing w:after="120" w:line="240" w:lineRule="auto"/>
              <w:ind w:firstLine="0"/>
              <w:jc w:val="left"/>
              <w:rPr>
                <w:rFonts w:asciiTheme="majorHAnsi" w:eastAsiaTheme="minorEastAsia" w:hAnsiTheme="majorHAnsi" w:cstheme="majorHAnsi"/>
                <w:i/>
                <w:iCs/>
                <w:szCs w:val="20"/>
                <w:lang w:val="sq-AL"/>
              </w:rPr>
            </w:pPr>
            <w:r w:rsidRPr="009A66BD">
              <w:rPr>
                <w:rFonts w:asciiTheme="majorHAnsi" w:eastAsiaTheme="minorEastAsia" w:hAnsiTheme="majorHAnsi" w:cstheme="majorHAnsi"/>
                <w:i/>
                <w:iCs/>
                <w:szCs w:val="20"/>
                <w:lang w:val="sq-AL"/>
              </w:rPr>
              <w:lastRenderedPageBreak/>
              <w:t xml:space="preserve">2.3 </w:t>
            </w:r>
            <w:r w:rsidR="001A43FC" w:rsidRPr="009A66BD">
              <w:rPr>
                <w:rFonts w:asciiTheme="majorHAnsi" w:eastAsiaTheme="minorEastAsia" w:hAnsiTheme="majorHAnsi" w:cstheme="majorHAnsi"/>
                <w:i/>
                <w:iCs/>
                <w:szCs w:val="20"/>
                <w:lang w:val="sq-AL"/>
              </w:rPr>
              <w:t xml:space="preserve">Lehtësimi dhe përshpejtimi i </w:t>
            </w:r>
            <w:r w:rsidR="00E87CCD">
              <w:rPr>
                <w:rFonts w:asciiTheme="majorHAnsi" w:eastAsiaTheme="minorEastAsia" w:hAnsiTheme="majorHAnsi" w:cstheme="majorHAnsi"/>
                <w:i/>
                <w:iCs/>
                <w:szCs w:val="20"/>
                <w:lang w:val="sq-AL"/>
              </w:rPr>
              <w:t>procedurave t</w:t>
            </w:r>
            <w:r w:rsidR="006822F7">
              <w:rPr>
                <w:rFonts w:asciiTheme="majorHAnsi" w:eastAsiaTheme="minorEastAsia" w:hAnsiTheme="majorHAnsi" w:cstheme="majorHAnsi"/>
                <w:i/>
                <w:iCs/>
                <w:szCs w:val="20"/>
                <w:lang w:val="sq-AL"/>
              </w:rPr>
              <w:t>ë</w:t>
            </w:r>
            <w:r w:rsidR="00E87CCD">
              <w:rPr>
                <w:rFonts w:asciiTheme="majorHAnsi" w:eastAsiaTheme="minorEastAsia" w:hAnsiTheme="majorHAnsi" w:cstheme="majorHAnsi"/>
                <w:i/>
                <w:iCs/>
                <w:szCs w:val="20"/>
                <w:lang w:val="sq-AL"/>
              </w:rPr>
              <w:t xml:space="preserve"> </w:t>
            </w:r>
            <w:r w:rsidR="001A43FC" w:rsidRPr="009A66BD">
              <w:rPr>
                <w:rFonts w:asciiTheme="majorHAnsi" w:eastAsiaTheme="minorEastAsia" w:hAnsiTheme="majorHAnsi" w:cstheme="majorHAnsi"/>
                <w:i/>
                <w:iCs/>
                <w:szCs w:val="20"/>
                <w:lang w:val="sq-AL"/>
              </w:rPr>
              <w:t xml:space="preserve">lejes së punës dhe i procedurave </w:t>
            </w:r>
            <w:r w:rsidR="00E87CCD">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E87CCD">
              <w:rPr>
                <w:rFonts w:asciiTheme="majorHAnsi" w:eastAsiaTheme="minorEastAsia" w:hAnsiTheme="majorHAnsi" w:cstheme="majorHAnsi"/>
                <w:i/>
                <w:iCs/>
                <w:szCs w:val="20"/>
                <w:lang w:val="sq-AL"/>
              </w:rPr>
              <w:t xml:space="preserve"> nd</w:t>
            </w:r>
            <w:r w:rsidR="006822F7">
              <w:rPr>
                <w:rFonts w:asciiTheme="majorHAnsi" w:eastAsiaTheme="minorEastAsia" w:hAnsiTheme="majorHAnsi" w:cstheme="majorHAnsi"/>
                <w:i/>
                <w:iCs/>
                <w:szCs w:val="20"/>
                <w:lang w:val="sq-AL"/>
              </w:rPr>
              <w:t>ë</w:t>
            </w:r>
            <w:r w:rsidR="00E87CCD">
              <w:rPr>
                <w:rFonts w:asciiTheme="majorHAnsi" w:eastAsiaTheme="minorEastAsia" w:hAnsiTheme="majorHAnsi" w:cstheme="majorHAnsi"/>
                <w:i/>
                <w:iCs/>
                <w:szCs w:val="20"/>
                <w:lang w:val="sq-AL"/>
              </w:rPr>
              <w:t xml:space="preserve">rlidhura </w:t>
            </w:r>
            <w:r w:rsidR="001A43FC" w:rsidRPr="009A66BD">
              <w:rPr>
                <w:rFonts w:asciiTheme="majorHAnsi" w:eastAsiaTheme="minorEastAsia" w:hAnsiTheme="majorHAnsi" w:cstheme="majorHAnsi"/>
                <w:i/>
                <w:iCs/>
                <w:szCs w:val="20"/>
                <w:lang w:val="sq-AL"/>
              </w:rPr>
              <w:t>në nivel ekonomik.</w:t>
            </w:r>
          </w:p>
        </w:tc>
        <w:tc>
          <w:tcPr>
            <w:tcW w:w="2610" w:type="dxa"/>
          </w:tcPr>
          <w:p w14:paraId="17867746" w14:textId="300FC75E" w:rsidR="003D1C69" w:rsidRPr="009A66BD" w:rsidRDefault="003D1C69" w:rsidP="00E87C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2.3.1. </w:t>
            </w:r>
            <w:r w:rsidR="004E61E5" w:rsidRPr="009A66BD">
              <w:rPr>
                <w:rFonts w:asciiTheme="minorHAnsi" w:eastAsiaTheme="minorEastAsia" w:hAnsiTheme="minorHAnsi" w:cstheme="minorBidi"/>
                <w:szCs w:val="20"/>
                <w:lang w:val="sq-AL"/>
              </w:rPr>
              <w:t xml:space="preserve">Miratimi i Ligjit për ndryshimin dhe plotësimin e Ligjit për të Huajt, për të lehtësuar dhe përshpejtuar </w:t>
            </w:r>
            <w:r w:rsidR="00E87CCD">
              <w:rPr>
                <w:rFonts w:asciiTheme="minorHAnsi" w:eastAsiaTheme="minorEastAsia" w:hAnsiTheme="minorHAnsi" w:cstheme="minorBidi"/>
                <w:szCs w:val="20"/>
                <w:lang w:val="sq-AL"/>
              </w:rPr>
              <w:t>procedur</w:t>
            </w:r>
            <w:r w:rsidR="006822F7">
              <w:rPr>
                <w:rFonts w:asciiTheme="minorHAnsi" w:eastAsiaTheme="minorEastAsia" w:hAnsiTheme="minorHAnsi" w:cstheme="minorBidi"/>
                <w:szCs w:val="20"/>
                <w:lang w:val="sq-AL"/>
              </w:rPr>
              <w:t>ë</w:t>
            </w:r>
            <w:r w:rsidR="00E87CCD">
              <w:rPr>
                <w:rFonts w:asciiTheme="minorHAnsi" w:eastAsiaTheme="minorEastAsia" w:hAnsiTheme="minorHAnsi" w:cstheme="minorBidi"/>
                <w:szCs w:val="20"/>
                <w:lang w:val="sq-AL"/>
              </w:rPr>
              <w:t xml:space="preserve">n e </w:t>
            </w:r>
            <w:r w:rsidR="004E61E5" w:rsidRPr="009A66BD">
              <w:rPr>
                <w:rFonts w:asciiTheme="minorHAnsi" w:eastAsiaTheme="minorEastAsia" w:hAnsiTheme="minorHAnsi" w:cstheme="minorBidi"/>
                <w:szCs w:val="20"/>
                <w:lang w:val="sq-AL"/>
              </w:rPr>
              <w:t>leje</w:t>
            </w:r>
            <w:r w:rsidR="00E87CCD">
              <w:rPr>
                <w:rFonts w:asciiTheme="minorHAnsi" w:eastAsiaTheme="minorEastAsia" w:hAnsiTheme="minorHAnsi" w:cstheme="minorBidi"/>
                <w:szCs w:val="20"/>
                <w:lang w:val="sq-AL"/>
              </w:rPr>
              <w:t>s s</w:t>
            </w:r>
            <w:r w:rsidR="006822F7">
              <w:rPr>
                <w:rFonts w:asciiTheme="minorHAnsi" w:eastAsiaTheme="minorEastAsia" w:hAnsiTheme="minorHAnsi" w:cstheme="minorBidi"/>
                <w:szCs w:val="20"/>
                <w:lang w:val="sq-AL"/>
              </w:rPr>
              <w:t>ë</w:t>
            </w:r>
            <w:r w:rsidR="00E87CCD">
              <w:rPr>
                <w:rFonts w:asciiTheme="minorHAnsi" w:eastAsiaTheme="minorEastAsia" w:hAnsiTheme="minorHAnsi" w:cstheme="minorBidi"/>
                <w:szCs w:val="20"/>
                <w:lang w:val="sq-AL"/>
              </w:rPr>
              <w:t xml:space="preserve"> </w:t>
            </w:r>
            <w:r w:rsidR="004E61E5" w:rsidRPr="009A66BD">
              <w:rPr>
                <w:rFonts w:asciiTheme="minorHAnsi" w:eastAsiaTheme="minorEastAsia" w:hAnsiTheme="minorHAnsi" w:cstheme="minorBidi"/>
                <w:szCs w:val="20"/>
                <w:lang w:val="sq-AL"/>
              </w:rPr>
              <w:t xml:space="preserve"> punës dhe procedura</w:t>
            </w:r>
            <w:r w:rsidR="00E87CCD">
              <w:rPr>
                <w:rFonts w:asciiTheme="minorHAnsi" w:eastAsiaTheme="minorEastAsia" w:hAnsiTheme="minorHAnsi" w:cstheme="minorBidi"/>
                <w:szCs w:val="20"/>
                <w:lang w:val="sq-AL"/>
              </w:rPr>
              <w:t>ve t</w:t>
            </w:r>
            <w:r w:rsidR="006822F7">
              <w:rPr>
                <w:rFonts w:asciiTheme="minorHAnsi" w:eastAsiaTheme="minorEastAsia" w:hAnsiTheme="minorHAnsi" w:cstheme="minorBidi"/>
                <w:szCs w:val="20"/>
                <w:lang w:val="sq-AL"/>
              </w:rPr>
              <w:t>ë</w:t>
            </w:r>
            <w:r w:rsidR="00E87CCD">
              <w:rPr>
                <w:rFonts w:asciiTheme="minorHAnsi" w:eastAsiaTheme="minorEastAsia" w:hAnsiTheme="minorHAnsi" w:cstheme="minorBidi"/>
                <w:szCs w:val="20"/>
                <w:lang w:val="sq-AL"/>
              </w:rPr>
              <w:t xml:space="preserve"> </w:t>
            </w:r>
            <w:r w:rsidR="008D1F4C" w:rsidRPr="009A66BD">
              <w:rPr>
                <w:rFonts w:asciiTheme="minorHAnsi" w:eastAsiaTheme="minorEastAsia" w:hAnsiTheme="minorHAnsi" w:cstheme="minorBidi"/>
                <w:szCs w:val="20"/>
                <w:lang w:val="sq-AL"/>
              </w:rPr>
              <w:t>ndërlidhura.</w:t>
            </w:r>
          </w:p>
        </w:tc>
        <w:tc>
          <w:tcPr>
            <w:tcW w:w="900" w:type="dxa"/>
          </w:tcPr>
          <w:p w14:paraId="1C9A8768" w14:textId="79AD0234" w:rsidR="003D1C69" w:rsidRPr="009A66BD" w:rsidRDefault="00DA335F" w:rsidP="003D1C69">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Dhjetor </w:t>
            </w:r>
            <w:r w:rsidR="003D1C69" w:rsidRPr="009A66BD">
              <w:rPr>
                <w:rFonts w:asciiTheme="minorHAnsi" w:eastAsiaTheme="minorEastAsia" w:hAnsiTheme="minorHAnsi" w:cstheme="minorHAnsi"/>
                <w:szCs w:val="20"/>
                <w:lang w:val="sq-AL"/>
              </w:rPr>
              <w:t>2018</w:t>
            </w:r>
          </w:p>
        </w:tc>
        <w:tc>
          <w:tcPr>
            <w:tcW w:w="1260" w:type="dxa"/>
          </w:tcPr>
          <w:p w14:paraId="6F49657D" w14:textId="1C4A073B" w:rsidR="003D1C69" w:rsidRPr="009A66BD" w:rsidRDefault="00C6749E" w:rsidP="003D1C69">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Punëve të Brendshme</w:t>
            </w:r>
          </w:p>
        </w:tc>
        <w:tc>
          <w:tcPr>
            <w:tcW w:w="1980" w:type="dxa"/>
          </w:tcPr>
          <w:p w14:paraId="6DC75BE7" w14:textId="2BB20CF5" w:rsidR="003D1C69" w:rsidRPr="009A66BD" w:rsidRDefault="00CD57F2" w:rsidP="009F2C3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Ligji për ndryshimin dhe plotësimin e Ligjit për të Huajt</w:t>
            </w:r>
            <w:r w:rsidR="009F2C3A">
              <w:rPr>
                <w:rFonts w:asciiTheme="minorHAnsi" w:eastAsiaTheme="minorEastAsia" w:hAnsiTheme="minorHAnsi" w:cstheme="minorHAnsi"/>
                <w:szCs w:val="20"/>
                <w:lang w:val="sq-AL"/>
              </w:rPr>
              <w:t xml:space="preserve"> </w:t>
            </w:r>
            <w:r w:rsidR="006822F7">
              <w:rPr>
                <w:rFonts w:asciiTheme="minorHAnsi" w:eastAsiaTheme="minorEastAsia" w:hAnsiTheme="minorHAnsi" w:cstheme="minorHAnsi"/>
                <w:szCs w:val="20"/>
                <w:lang w:val="sq-AL"/>
              </w:rPr>
              <w:t>ë</w:t>
            </w:r>
            <w:r w:rsidR="009F2C3A">
              <w:rPr>
                <w:rFonts w:asciiTheme="minorHAnsi" w:eastAsiaTheme="minorEastAsia" w:hAnsiTheme="minorHAnsi" w:cstheme="minorHAnsi"/>
                <w:szCs w:val="20"/>
                <w:lang w:val="sq-AL"/>
              </w:rPr>
              <w:t>sht</w:t>
            </w:r>
            <w:r w:rsidR="006822F7">
              <w:rPr>
                <w:rFonts w:asciiTheme="minorHAnsi" w:eastAsiaTheme="minorEastAsia" w:hAnsiTheme="minorHAnsi" w:cstheme="minorHAnsi"/>
                <w:szCs w:val="20"/>
                <w:lang w:val="sq-AL"/>
              </w:rPr>
              <w:t>ë</w:t>
            </w:r>
            <w:r w:rsidR="009F2C3A">
              <w:rPr>
                <w:rFonts w:asciiTheme="minorHAnsi" w:eastAsiaTheme="minorEastAsia" w:hAnsiTheme="minorHAnsi" w:cstheme="minorHAnsi"/>
                <w:szCs w:val="20"/>
                <w:lang w:val="sq-AL"/>
              </w:rPr>
              <w:t xml:space="preserve"> miratuar</w:t>
            </w:r>
            <w:r w:rsidRPr="009A66BD">
              <w:rPr>
                <w:rFonts w:asciiTheme="minorHAnsi" w:eastAsiaTheme="minorEastAsia" w:hAnsiTheme="minorHAnsi" w:cstheme="minorHAnsi"/>
                <w:szCs w:val="20"/>
                <w:lang w:val="sq-AL"/>
              </w:rPr>
              <w:t>.</w:t>
            </w:r>
          </w:p>
        </w:tc>
        <w:tc>
          <w:tcPr>
            <w:tcW w:w="1800" w:type="dxa"/>
          </w:tcPr>
          <w:p w14:paraId="49DD0552" w14:textId="7BCD2C2C" w:rsidR="003D1C69" w:rsidRPr="009A66BD" w:rsidRDefault="009903D4" w:rsidP="003D1C69">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3960" w:type="dxa"/>
          </w:tcPr>
          <w:p w14:paraId="0508AC77" w14:textId="07572CA3" w:rsidR="003D1C69" w:rsidRPr="009A66BD" w:rsidRDefault="005F3BDB" w:rsidP="003D1C69">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20"/>
                <w:lang w:val="sq-AL"/>
              </w:rPr>
              <w:t>Ligji nr. 06 / L-036 për ndryshimin dhe plotësimin e Ligjit nr. 04 / L-219 për të huajt u botua në Gazetën Zyrtare të Kosovës më 3 maj 2018 dhe hyri në fuqi pesëmbëdhjetë (15) ditë pas publikimit të tij</w:t>
            </w:r>
          </w:p>
        </w:tc>
      </w:tr>
      <w:tr w:rsidR="00D85DDA" w:rsidRPr="009A66BD" w14:paraId="049A7F2A" w14:textId="77777777" w:rsidTr="00B33697">
        <w:trPr>
          <w:trHeight w:val="666"/>
        </w:trPr>
        <w:tc>
          <w:tcPr>
            <w:tcW w:w="2335" w:type="dxa"/>
            <w:vMerge/>
          </w:tcPr>
          <w:p w14:paraId="548EC067" w14:textId="77777777" w:rsidR="00D85DDA" w:rsidRPr="009A66BD" w:rsidRDefault="00D85DDA" w:rsidP="00D360F8">
            <w:pPr>
              <w:spacing w:after="120" w:line="240" w:lineRule="auto"/>
              <w:ind w:left="520" w:firstLine="0"/>
              <w:jc w:val="left"/>
              <w:rPr>
                <w:rFonts w:asciiTheme="minorHAnsi" w:eastAsiaTheme="minorEastAsia" w:hAnsiTheme="minorHAnsi" w:cstheme="minorHAnsi"/>
                <w:i/>
                <w:iCs/>
                <w:szCs w:val="20"/>
                <w:lang w:val="sq-AL"/>
              </w:rPr>
            </w:pPr>
          </w:p>
        </w:tc>
        <w:tc>
          <w:tcPr>
            <w:tcW w:w="2610" w:type="dxa"/>
          </w:tcPr>
          <w:p w14:paraId="0378012B" w14:textId="0BF9BA5F" w:rsidR="00D85DDA" w:rsidRPr="009A66BD" w:rsidRDefault="00D85DDA" w:rsidP="008D1F4C">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2.3.</w:t>
            </w:r>
            <w:r w:rsidR="003D1C69" w:rsidRPr="009A66BD">
              <w:rPr>
                <w:rFonts w:asciiTheme="minorHAnsi" w:eastAsiaTheme="minorEastAsia" w:hAnsiTheme="minorHAnsi" w:cstheme="minorHAnsi"/>
                <w:szCs w:val="20"/>
                <w:lang w:val="sq-AL"/>
              </w:rPr>
              <w:t>2</w:t>
            </w:r>
            <w:r w:rsidRPr="009A66BD">
              <w:rPr>
                <w:rFonts w:asciiTheme="minorHAnsi" w:eastAsiaTheme="minorEastAsia" w:hAnsiTheme="minorHAnsi" w:cstheme="minorHAnsi"/>
                <w:szCs w:val="20"/>
                <w:lang w:val="sq-AL"/>
              </w:rPr>
              <w:t xml:space="preserve">. </w:t>
            </w:r>
            <w:r w:rsidR="001509D5" w:rsidRPr="009A66BD">
              <w:rPr>
                <w:rFonts w:asciiTheme="minorHAnsi" w:eastAsiaTheme="minorEastAsia" w:hAnsiTheme="minorHAnsi" w:cstheme="minorHAnsi"/>
                <w:szCs w:val="20"/>
                <w:lang w:val="sq-AL"/>
              </w:rPr>
              <w:t xml:space="preserve">Vazhdimi i zbatimit dhe monitorimit të </w:t>
            </w:r>
            <w:r w:rsidR="009F2C3A">
              <w:rPr>
                <w:rFonts w:asciiTheme="minorHAnsi" w:eastAsiaTheme="minorEastAsia" w:hAnsiTheme="minorHAnsi" w:cstheme="minorHAnsi"/>
                <w:szCs w:val="20"/>
                <w:lang w:val="sq-AL"/>
              </w:rPr>
              <w:t>procedurave t</w:t>
            </w:r>
            <w:r w:rsidR="006822F7">
              <w:rPr>
                <w:rFonts w:asciiTheme="minorHAnsi" w:eastAsiaTheme="minorEastAsia" w:hAnsiTheme="minorHAnsi" w:cstheme="minorHAnsi"/>
                <w:szCs w:val="20"/>
                <w:lang w:val="sq-AL"/>
              </w:rPr>
              <w:t>ë</w:t>
            </w:r>
            <w:r w:rsidR="009F2C3A">
              <w:rPr>
                <w:rFonts w:asciiTheme="minorHAnsi" w:eastAsiaTheme="minorEastAsia" w:hAnsiTheme="minorHAnsi" w:cstheme="minorHAnsi"/>
                <w:szCs w:val="20"/>
                <w:lang w:val="sq-AL"/>
              </w:rPr>
              <w:t xml:space="preserve"> </w:t>
            </w:r>
            <w:r w:rsidR="001509D5" w:rsidRPr="009A66BD">
              <w:rPr>
                <w:rFonts w:asciiTheme="minorHAnsi" w:eastAsiaTheme="minorEastAsia" w:hAnsiTheme="minorHAnsi" w:cstheme="minorHAnsi"/>
                <w:szCs w:val="20"/>
                <w:lang w:val="sq-AL"/>
              </w:rPr>
              <w:t xml:space="preserve">lejes së punës dhe procedurave të </w:t>
            </w:r>
            <w:r w:rsidR="008D1F4C" w:rsidRPr="009A66BD">
              <w:rPr>
                <w:rFonts w:asciiTheme="minorHAnsi" w:eastAsiaTheme="minorEastAsia" w:hAnsiTheme="minorHAnsi" w:cstheme="minorHAnsi"/>
                <w:szCs w:val="20"/>
                <w:lang w:val="sq-AL"/>
              </w:rPr>
              <w:t>ndërlidhura</w:t>
            </w:r>
            <w:r w:rsidR="001509D5" w:rsidRPr="009A66BD">
              <w:rPr>
                <w:rFonts w:asciiTheme="minorHAnsi" w:eastAsiaTheme="minorEastAsia" w:hAnsiTheme="minorHAnsi" w:cstheme="minorHAnsi"/>
                <w:szCs w:val="20"/>
                <w:lang w:val="sq-AL"/>
              </w:rPr>
              <w:t>, siç përcaktohet në Ligjin për ndryshimin dhe plotësimin e Ligjit për të Huajt</w:t>
            </w:r>
            <w:r w:rsidR="00853FE3" w:rsidRPr="009A66BD">
              <w:rPr>
                <w:rFonts w:asciiTheme="minorHAnsi" w:eastAsiaTheme="minorEastAsia" w:hAnsiTheme="minorHAnsi" w:cstheme="minorHAnsi"/>
                <w:szCs w:val="20"/>
                <w:lang w:val="sq-AL"/>
              </w:rPr>
              <w:t>.</w:t>
            </w:r>
          </w:p>
        </w:tc>
        <w:tc>
          <w:tcPr>
            <w:tcW w:w="900" w:type="dxa"/>
          </w:tcPr>
          <w:p w14:paraId="2DD1889E" w14:textId="654B6F2F" w:rsidR="00D85DDA" w:rsidRPr="009A66BD" w:rsidRDefault="00DA335F"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Dhjetor </w:t>
            </w:r>
            <w:r w:rsidR="002471E5" w:rsidRPr="009A66BD">
              <w:rPr>
                <w:rFonts w:asciiTheme="minorHAnsi" w:eastAsiaTheme="minorEastAsia" w:hAnsiTheme="minorHAnsi" w:cstheme="minorHAnsi"/>
                <w:szCs w:val="20"/>
                <w:lang w:val="sq-AL"/>
              </w:rPr>
              <w:t>2019</w:t>
            </w:r>
          </w:p>
        </w:tc>
        <w:tc>
          <w:tcPr>
            <w:tcW w:w="1260" w:type="dxa"/>
          </w:tcPr>
          <w:p w14:paraId="5A72DF80" w14:textId="5803409C" w:rsidR="00D85DDA" w:rsidRPr="009A66BD" w:rsidRDefault="00C6749E"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Punëve të Brendshme</w:t>
            </w:r>
          </w:p>
        </w:tc>
        <w:tc>
          <w:tcPr>
            <w:tcW w:w="1980" w:type="dxa"/>
          </w:tcPr>
          <w:p w14:paraId="1451B333" w14:textId="77777777" w:rsidR="00853FE3" w:rsidRPr="009A66BD" w:rsidRDefault="00853FE3"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Raporti i monitorimit.</w:t>
            </w:r>
          </w:p>
          <w:p w14:paraId="03F523FF" w14:textId="7DBB2583" w:rsidR="002471E5" w:rsidRPr="009A66BD" w:rsidRDefault="009F2C3A" w:rsidP="009F2C3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HAnsi"/>
                <w:szCs w:val="20"/>
                <w:lang w:val="sq-AL"/>
              </w:rPr>
              <w:t>R</w:t>
            </w:r>
            <w:r w:rsidR="006E2AB9" w:rsidRPr="009A66BD">
              <w:rPr>
                <w:rFonts w:asciiTheme="minorHAnsi" w:eastAsiaTheme="minorEastAsia" w:hAnsiTheme="minorHAnsi" w:cstheme="minorHAnsi"/>
                <w:szCs w:val="20"/>
                <w:lang w:val="sq-AL"/>
              </w:rPr>
              <w:t>regullore</w:t>
            </w:r>
            <w:r>
              <w:rPr>
                <w:rFonts w:asciiTheme="minorHAnsi" w:eastAsiaTheme="minorEastAsia" w:hAnsiTheme="minorHAnsi" w:cstheme="minorHAnsi"/>
                <w:szCs w:val="20"/>
                <w:lang w:val="sq-AL"/>
              </w:rPr>
              <w:t>t e</w:t>
            </w:r>
            <w:r w:rsidR="006E2AB9" w:rsidRPr="009A66BD">
              <w:rPr>
                <w:rFonts w:asciiTheme="minorHAnsi" w:eastAsiaTheme="minorEastAsia" w:hAnsiTheme="minorHAnsi" w:cstheme="minorHAnsi"/>
                <w:szCs w:val="20"/>
                <w:lang w:val="sq-AL"/>
              </w:rPr>
              <w:t xml:space="preserve"> nevojshme zbatuese</w:t>
            </w:r>
            <w:r>
              <w:rPr>
                <w:rFonts w:asciiTheme="minorHAnsi" w:eastAsiaTheme="minorEastAsia" w:hAnsiTheme="minorHAnsi" w:cstheme="minorHAnsi"/>
                <w:szCs w:val="20"/>
                <w:lang w:val="sq-AL"/>
              </w:rPr>
              <w:t xml:space="preserve"> jan</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 xml:space="preserve"> miratuar</w:t>
            </w:r>
            <w:r w:rsidR="006E2AB9" w:rsidRPr="009A66BD">
              <w:rPr>
                <w:rFonts w:asciiTheme="minorHAnsi" w:eastAsiaTheme="minorEastAsia" w:hAnsiTheme="minorHAnsi" w:cstheme="minorHAnsi"/>
                <w:szCs w:val="20"/>
                <w:lang w:val="sq-AL"/>
              </w:rPr>
              <w:t>.</w:t>
            </w:r>
          </w:p>
        </w:tc>
        <w:tc>
          <w:tcPr>
            <w:tcW w:w="1800" w:type="dxa"/>
          </w:tcPr>
          <w:p w14:paraId="6E728FBA" w14:textId="59632483" w:rsidR="00D85DDA" w:rsidRPr="009A66BD" w:rsidRDefault="009903D4"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3960" w:type="dxa"/>
          </w:tcPr>
          <w:p w14:paraId="3C00C536" w14:textId="77777777" w:rsidR="00D85DDA" w:rsidRPr="009A66BD" w:rsidRDefault="00D85DDA" w:rsidP="00D360F8">
            <w:pPr>
              <w:spacing w:after="120" w:line="240" w:lineRule="auto"/>
              <w:ind w:firstLine="0"/>
              <w:jc w:val="left"/>
              <w:rPr>
                <w:rFonts w:asciiTheme="minorHAnsi" w:eastAsiaTheme="minorEastAsia" w:hAnsiTheme="minorHAnsi" w:cstheme="minorHAnsi"/>
                <w:i/>
                <w:szCs w:val="20"/>
                <w:lang w:val="sq-AL"/>
              </w:rPr>
            </w:pPr>
          </w:p>
        </w:tc>
      </w:tr>
      <w:tr w:rsidR="00D360F8" w:rsidRPr="00612497" w14:paraId="4B3B7365" w14:textId="77777777" w:rsidTr="00B33697">
        <w:trPr>
          <w:cnfStyle w:val="000000100000" w:firstRow="0" w:lastRow="0" w:firstColumn="0" w:lastColumn="0" w:oddVBand="0" w:evenVBand="0" w:oddHBand="1" w:evenHBand="0" w:firstRowFirstColumn="0" w:firstRowLastColumn="0" w:lastRowFirstColumn="0" w:lastRowLastColumn="0"/>
          <w:trHeight w:val="666"/>
        </w:trPr>
        <w:tc>
          <w:tcPr>
            <w:tcW w:w="2335" w:type="dxa"/>
            <w:vMerge/>
          </w:tcPr>
          <w:p w14:paraId="760539FF" w14:textId="77777777" w:rsidR="00D360F8" w:rsidRPr="009A66BD" w:rsidRDefault="00D360F8" w:rsidP="00D360F8">
            <w:pPr>
              <w:spacing w:after="120" w:line="240" w:lineRule="auto"/>
              <w:ind w:left="520" w:firstLine="0"/>
              <w:jc w:val="left"/>
              <w:rPr>
                <w:rFonts w:asciiTheme="minorHAnsi" w:eastAsiaTheme="minorEastAsia" w:hAnsiTheme="minorHAnsi" w:cstheme="minorHAnsi"/>
                <w:i/>
                <w:iCs/>
                <w:szCs w:val="20"/>
                <w:lang w:val="sq-AL"/>
              </w:rPr>
            </w:pPr>
          </w:p>
        </w:tc>
        <w:tc>
          <w:tcPr>
            <w:tcW w:w="2610" w:type="dxa"/>
          </w:tcPr>
          <w:p w14:paraId="418EE432" w14:textId="493270AE" w:rsidR="00D360F8" w:rsidRPr="009A66BD" w:rsidRDefault="00D85DDA" w:rsidP="009F2C3A">
            <w:pPr>
              <w:spacing w:after="120" w:line="240" w:lineRule="auto"/>
              <w:ind w:firstLine="0"/>
              <w:jc w:val="left"/>
              <w:rPr>
                <w:rFonts w:asciiTheme="minorHAnsi" w:eastAsiaTheme="minorEastAsia" w:hAnsiTheme="minorHAnsi" w:cstheme="minorHAnsi"/>
                <w:szCs w:val="20"/>
                <w:highlight w:val="yellow"/>
                <w:lang w:val="sq-AL"/>
              </w:rPr>
            </w:pPr>
            <w:r w:rsidRPr="009A66BD">
              <w:rPr>
                <w:rFonts w:asciiTheme="minorHAnsi" w:eastAsiaTheme="minorEastAsia" w:hAnsiTheme="minorHAnsi" w:cstheme="minorHAnsi"/>
                <w:szCs w:val="20"/>
                <w:lang w:val="sq-AL"/>
              </w:rPr>
              <w:t>2.3</w:t>
            </w:r>
            <w:r w:rsidR="003D1C69" w:rsidRPr="009A66BD">
              <w:rPr>
                <w:rFonts w:asciiTheme="minorHAnsi" w:eastAsiaTheme="minorEastAsia" w:hAnsiTheme="minorHAnsi" w:cstheme="minorHAnsi"/>
                <w:szCs w:val="20"/>
                <w:lang w:val="sq-AL"/>
              </w:rPr>
              <w:t>.3</w:t>
            </w:r>
            <w:r w:rsidR="00D360F8" w:rsidRPr="009A66BD">
              <w:rPr>
                <w:rFonts w:asciiTheme="minorHAnsi" w:eastAsiaTheme="minorEastAsia" w:hAnsiTheme="minorHAnsi" w:cstheme="minorHAnsi"/>
                <w:szCs w:val="20"/>
                <w:lang w:val="sq-AL"/>
              </w:rPr>
              <w:t xml:space="preserve">. </w:t>
            </w:r>
            <w:r w:rsidR="009F2C3A">
              <w:rPr>
                <w:rFonts w:asciiTheme="minorHAnsi" w:eastAsiaTheme="minorEastAsia" w:hAnsiTheme="minorHAnsi" w:cstheme="minorHAnsi"/>
                <w:szCs w:val="20"/>
                <w:lang w:val="sq-AL"/>
              </w:rPr>
              <w:t>Hartimi i u</w:t>
            </w:r>
            <w:r w:rsidR="00E52C28" w:rsidRPr="009A66BD">
              <w:rPr>
                <w:rFonts w:asciiTheme="minorHAnsi" w:eastAsiaTheme="minorEastAsia" w:hAnsiTheme="minorHAnsi" w:cstheme="minorHAnsi"/>
                <w:szCs w:val="20"/>
                <w:lang w:val="sq-AL"/>
              </w:rPr>
              <w:t>dhëzime</w:t>
            </w:r>
            <w:r w:rsidR="009F2C3A">
              <w:rPr>
                <w:rFonts w:asciiTheme="minorHAnsi" w:eastAsiaTheme="minorEastAsia" w:hAnsiTheme="minorHAnsi" w:cstheme="minorHAnsi"/>
                <w:szCs w:val="20"/>
                <w:lang w:val="sq-AL"/>
              </w:rPr>
              <w:t xml:space="preserve">ve </w:t>
            </w:r>
            <w:r w:rsidR="00E52C28" w:rsidRPr="009A66BD">
              <w:rPr>
                <w:rFonts w:asciiTheme="minorHAnsi" w:eastAsiaTheme="minorEastAsia" w:hAnsiTheme="minorHAnsi" w:cstheme="minorHAnsi"/>
                <w:szCs w:val="20"/>
                <w:lang w:val="sq-AL"/>
              </w:rPr>
              <w:t xml:space="preserve">procedurale për lëshimin e lejeve të punës për punëtorët e huaj dhe procedurat e </w:t>
            </w:r>
            <w:r w:rsidR="008D1F4C" w:rsidRPr="009A66BD">
              <w:rPr>
                <w:rFonts w:asciiTheme="minorHAnsi" w:eastAsiaTheme="minorEastAsia" w:hAnsiTheme="minorHAnsi" w:cstheme="minorHAnsi"/>
                <w:szCs w:val="20"/>
                <w:lang w:val="sq-AL"/>
              </w:rPr>
              <w:t>ndërlidhura.</w:t>
            </w:r>
          </w:p>
        </w:tc>
        <w:tc>
          <w:tcPr>
            <w:tcW w:w="900" w:type="dxa"/>
          </w:tcPr>
          <w:p w14:paraId="21D5360C" w14:textId="1C3A1D12" w:rsidR="00D360F8" w:rsidRPr="009A66BD" w:rsidRDefault="00DA335F"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r w:rsidR="00D360F8" w:rsidRPr="009A66BD">
              <w:rPr>
                <w:rFonts w:asciiTheme="minorHAnsi" w:eastAsiaTheme="minorEastAsia" w:hAnsiTheme="minorHAnsi" w:cstheme="minorHAnsi"/>
                <w:szCs w:val="20"/>
                <w:lang w:val="sq-AL"/>
              </w:rPr>
              <w:t xml:space="preserve"> 2019</w:t>
            </w:r>
          </w:p>
        </w:tc>
        <w:tc>
          <w:tcPr>
            <w:tcW w:w="1260" w:type="dxa"/>
          </w:tcPr>
          <w:p w14:paraId="0B8722B5" w14:textId="3B13E4C1" w:rsidR="00D360F8" w:rsidRPr="009A66BD" w:rsidRDefault="00C6749E" w:rsidP="00D360F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Punës dhe Mirëqenies Sociale</w:t>
            </w:r>
          </w:p>
        </w:tc>
        <w:tc>
          <w:tcPr>
            <w:tcW w:w="1980" w:type="dxa"/>
          </w:tcPr>
          <w:p w14:paraId="5A4B4402" w14:textId="49A01957" w:rsidR="00D360F8" w:rsidRPr="009A66BD" w:rsidRDefault="0018089C" w:rsidP="009F2C3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Udhëzimet procedurale për të gjitha</w:t>
            </w:r>
            <w:r w:rsidR="009F2C3A">
              <w:rPr>
                <w:rFonts w:asciiTheme="minorHAnsi" w:eastAsiaTheme="minorEastAsia" w:hAnsiTheme="minorHAnsi" w:cstheme="minorHAnsi"/>
                <w:szCs w:val="20"/>
                <w:lang w:val="sq-AL"/>
              </w:rPr>
              <w:t xml:space="preserve"> procedurat e </w:t>
            </w:r>
            <w:r w:rsidRPr="009A66BD">
              <w:rPr>
                <w:rFonts w:asciiTheme="minorHAnsi" w:eastAsiaTheme="minorEastAsia" w:hAnsiTheme="minorHAnsi" w:cstheme="minorHAnsi"/>
                <w:szCs w:val="20"/>
                <w:lang w:val="sq-AL"/>
              </w:rPr>
              <w:t xml:space="preserve"> leje</w:t>
            </w:r>
            <w:r w:rsidR="009F2C3A">
              <w:rPr>
                <w:rFonts w:asciiTheme="minorHAnsi" w:eastAsiaTheme="minorEastAsia" w:hAnsiTheme="minorHAnsi" w:cstheme="minorHAnsi"/>
                <w:szCs w:val="20"/>
                <w:lang w:val="sq-AL"/>
              </w:rPr>
              <w:t>s s</w:t>
            </w:r>
            <w:r w:rsidR="006822F7">
              <w:rPr>
                <w:rFonts w:asciiTheme="minorHAnsi" w:eastAsiaTheme="minorEastAsia" w:hAnsiTheme="minorHAnsi" w:cstheme="minorHAnsi"/>
                <w:szCs w:val="20"/>
                <w:lang w:val="sq-AL"/>
              </w:rPr>
              <w:t>ë</w:t>
            </w:r>
            <w:r w:rsidR="009F2C3A">
              <w:rPr>
                <w:rFonts w:asciiTheme="minorHAnsi" w:eastAsiaTheme="minorEastAsia" w:hAnsiTheme="minorHAnsi" w:cstheme="minorHAnsi"/>
                <w:szCs w:val="20"/>
                <w:lang w:val="sq-AL"/>
              </w:rPr>
              <w:t xml:space="preserve"> </w:t>
            </w:r>
            <w:r w:rsidRPr="009A66BD">
              <w:rPr>
                <w:rFonts w:asciiTheme="minorHAnsi" w:eastAsiaTheme="minorEastAsia" w:hAnsiTheme="minorHAnsi" w:cstheme="minorHAnsi"/>
                <w:szCs w:val="20"/>
                <w:lang w:val="sq-AL"/>
              </w:rPr>
              <w:t>punës dhe procedurat e ndërlidhura</w:t>
            </w:r>
            <w:r w:rsidR="00D360F8" w:rsidRPr="009A66BD">
              <w:rPr>
                <w:rFonts w:asciiTheme="minorHAnsi" w:eastAsiaTheme="minorEastAsia" w:hAnsiTheme="minorHAnsi" w:cstheme="minorHAnsi"/>
                <w:szCs w:val="20"/>
                <w:lang w:val="sq-AL"/>
              </w:rPr>
              <w:t>.</w:t>
            </w:r>
          </w:p>
        </w:tc>
        <w:tc>
          <w:tcPr>
            <w:tcW w:w="1800" w:type="dxa"/>
          </w:tcPr>
          <w:p w14:paraId="147CDACB" w14:textId="00D4A8E0" w:rsidR="00D360F8" w:rsidRPr="009A66BD" w:rsidRDefault="008D5E84" w:rsidP="00D360F8">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9A66BD">
              <w:rPr>
                <w:rFonts w:asciiTheme="minorHAnsi" w:eastAsiaTheme="minorEastAsia" w:hAnsiTheme="minorHAnsi" w:cstheme="minorBidi"/>
                <w:szCs w:val="20"/>
                <w:lang w:val="sq-AL"/>
              </w:rPr>
              <w:t xml:space="preserve"> - BP PPI</w:t>
            </w:r>
          </w:p>
        </w:tc>
        <w:tc>
          <w:tcPr>
            <w:tcW w:w="3960" w:type="dxa"/>
          </w:tcPr>
          <w:p w14:paraId="736A1ECE" w14:textId="2A550A02" w:rsidR="00D360F8" w:rsidRPr="009A66BD" w:rsidRDefault="004013DC" w:rsidP="00D360F8">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Udhëzimet duhet të përmbajnë detaje për gjithçka që nevojitet për dhënien e lejeve të punës për të huajt, të tilla si informatat e nevojshme rreth </w:t>
            </w:r>
            <w:proofErr w:type="spellStart"/>
            <w:r w:rsidRPr="009A66BD">
              <w:rPr>
                <w:rFonts w:asciiTheme="minorHAnsi" w:eastAsiaTheme="minorEastAsia" w:hAnsiTheme="minorHAnsi" w:cstheme="minorHAnsi"/>
                <w:i/>
                <w:szCs w:val="20"/>
                <w:lang w:val="sq-AL"/>
              </w:rPr>
              <w:t>aplikantit</w:t>
            </w:r>
            <w:proofErr w:type="spellEnd"/>
            <w:r w:rsidRPr="009A66BD">
              <w:rPr>
                <w:rFonts w:asciiTheme="minorHAnsi" w:eastAsiaTheme="minorEastAsia" w:hAnsiTheme="minorHAnsi" w:cstheme="minorHAnsi"/>
                <w:i/>
                <w:szCs w:val="20"/>
                <w:lang w:val="sq-AL"/>
              </w:rPr>
              <w:t>, dokumentacionin e nevojshëm, procedurat e detajuara dhe hapat, përgjegjësitë, afatet kohore, tarifat administrative dhe dispozitat tjera</w:t>
            </w:r>
            <w:r w:rsidR="00D360F8" w:rsidRPr="009A66BD">
              <w:rPr>
                <w:rFonts w:asciiTheme="minorHAnsi" w:eastAsiaTheme="minorEastAsia" w:hAnsiTheme="minorHAnsi" w:cstheme="minorHAnsi"/>
                <w:i/>
                <w:szCs w:val="20"/>
                <w:lang w:val="sq-AL"/>
              </w:rPr>
              <w:t>.</w:t>
            </w:r>
          </w:p>
          <w:p w14:paraId="14E25DF6" w14:textId="02343539" w:rsidR="00D360F8" w:rsidRPr="009A66BD" w:rsidRDefault="008A1330" w:rsidP="009F2C3A">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Krijimi i udhëzimeve duhet të jetë në përputhje me kërkesat e </w:t>
            </w:r>
            <w:r w:rsidR="009F2C3A">
              <w:rPr>
                <w:rFonts w:asciiTheme="minorHAnsi" w:eastAsiaTheme="minorEastAsia" w:hAnsiTheme="minorHAnsi" w:cstheme="minorHAnsi"/>
                <w:i/>
                <w:szCs w:val="20"/>
                <w:lang w:val="sq-AL"/>
              </w:rPr>
              <w:t>Veprimit t</w:t>
            </w:r>
            <w:r w:rsidR="006822F7">
              <w:rPr>
                <w:rFonts w:asciiTheme="minorHAnsi" w:eastAsiaTheme="minorEastAsia" w:hAnsiTheme="minorHAnsi" w:cstheme="minorHAnsi"/>
                <w:i/>
                <w:szCs w:val="20"/>
                <w:lang w:val="sq-AL"/>
              </w:rPr>
              <w:t>ë</w:t>
            </w:r>
            <w:r w:rsidR="009F2C3A">
              <w:rPr>
                <w:rFonts w:asciiTheme="minorHAnsi" w:eastAsiaTheme="minorEastAsia" w:hAnsiTheme="minorHAnsi" w:cstheme="minorHAnsi"/>
                <w:i/>
                <w:szCs w:val="20"/>
                <w:lang w:val="sq-AL"/>
              </w:rPr>
              <w:t xml:space="preserve"> Reform</w:t>
            </w:r>
            <w:r w:rsidR="006822F7">
              <w:rPr>
                <w:rFonts w:asciiTheme="minorHAnsi" w:eastAsiaTheme="minorEastAsia" w:hAnsiTheme="minorHAnsi" w:cstheme="minorHAnsi"/>
                <w:i/>
                <w:szCs w:val="20"/>
                <w:lang w:val="sq-AL"/>
              </w:rPr>
              <w:t>ë</w:t>
            </w:r>
            <w:r w:rsidR="009F2C3A">
              <w:rPr>
                <w:rFonts w:asciiTheme="minorHAnsi" w:eastAsiaTheme="minorEastAsia" w:hAnsiTheme="minorHAnsi" w:cstheme="minorHAnsi"/>
                <w:i/>
                <w:szCs w:val="20"/>
                <w:lang w:val="sq-AL"/>
              </w:rPr>
              <w:t xml:space="preserve">s </w:t>
            </w:r>
            <w:r w:rsidRPr="009A66BD">
              <w:rPr>
                <w:rFonts w:asciiTheme="minorHAnsi" w:eastAsiaTheme="minorEastAsia" w:hAnsiTheme="minorHAnsi" w:cstheme="minorHAnsi"/>
                <w:i/>
                <w:szCs w:val="20"/>
                <w:lang w:val="sq-AL"/>
              </w:rPr>
              <w:t xml:space="preserve"> 2.1.1.  dhe duhet të përfshihe</w:t>
            </w:r>
            <w:r w:rsidR="009F2C3A">
              <w:rPr>
                <w:rFonts w:asciiTheme="minorHAnsi" w:eastAsiaTheme="minorEastAsia" w:hAnsiTheme="minorHAnsi" w:cstheme="minorHAnsi"/>
                <w:i/>
                <w:szCs w:val="20"/>
                <w:lang w:val="sq-AL"/>
              </w:rPr>
              <w:t>t</w:t>
            </w:r>
            <w:r w:rsidRPr="009A66BD">
              <w:rPr>
                <w:rFonts w:asciiTheme="minorHAnsi" w:eastAsiaTheme="minorEastAsia" w:hAnsiTheme="minorHAnsi" w:cstheme="minorHAnsi"/>
                <w:i/>
                <w:szCs w:val="20"/>
                <w:lang w:val="sq-AL"/>
              </w:rPr>
              <w:t xml:space="preserve"> si të dhëna që </w:t>
            </w:r>
            <w:r w:rsidRPr="009A66BD">
              <w:rPr>
                <w:rFonts w:asciiTheme="minorHAnsi" w:eastAsiaTheme="minorEastAsia" w:hAnsiTheme="minorHAnsi" w:cstheme="minorHAnsi"/>
                <w:i/>
                <w:szCs w:val="20"/>
                <w:lang w:val="sq-AL"/>
              </w:rPr>
              <w:lastRenderedPageBreak/>
              <w:t>do të ofrohen sipas atij Veprimi të Reformës</w:t>
            </w:r>
            <w:r w:rsidR="00D360F8" w:rsidRPr="009A66BD">
              <w:rPr>
                <w:rFonts w:asciiTheme="minorHAnsi" w:eastAsiaTheme="minorEastAsia" w:hAnsiTheme="minorHAnsi" w:cstheme="minorHAnsi"/>
                <w:i/>
                <w:szCs w:val="20"/>
                <w:lang w:val="sq-AL"/>
              </w:rPr>
              <w:t>.</w:t>
            </w:r>
          </w:p>
        </w:tc>
      </w:tr>
    </w:tbl>
    <w:p w14:paraId="1CDCA23D" w14:textId="77777777" w:rsidR="00386292" w:rsidRPr="009A66BD" w:rsidRDefault="00386292" w:rsidP="00BA7223">
      <w:pPr>
        <w:spacing w:line="240" w:lineRule="auto"/>
        <w:ind w:firstLine="0"/>
        <w:rPr>
          <w:rFonts w:asciiTheme="minorHAnsi" w:hAnsiTheme="minorHAnsi" w:cstheme="minorHAnsi"/>
          <w:szCs w:val="20"/>
          <w:lang w:val="sq-AL"/>
        </w:rPr>
      </w:pPr>
      <w:bookmarkStart w:id="7" w:name="_Hlk524524866"/>
    </w:p>
    <w:p w14:paraId="1CE47418" w14:textId="77777777" w:rsidR="00386292" w:rsidRPr="009A66BD" w:rsidRDefault="00386292">
      <w:pPr>
        <w:spacing w:after="160" w:line="259" w:lineRule="auto"/>
        <w:ind w:firstLine="0"/>
        <w:jc w:val="left"/>
        <w:rPr>
          <w:rFonts w:asciiTheme="minorHAnsi" w:hAnsiTheme="minorHAnsi" w:cstheme="minorHAnsi"/>
          <w:szCs w:val="20"/>
          <w:lang w:val="sq-AL"/>
        </w:rPr>
      </w:pPr>
      <w:r w:rsidRPr="009A66BD">
        <w:rPr>
          <w:rFonts w:asciiTheme="minorHAnsi" w:hAnsiTheme="minorHAnsi" w:cstheme="minorHAnsi"/>
          <w:szCs w:val="20"/>
          <w:lang w:val="sq-AL"/>
        </w:rPr>
        <w:br w:type="page"/>
      </w:r>
    </w:p>
    <w:p w14:paraId="351B6A7E" w14:textId="50759694" w:rsidR="00BA7223" w:rsidRPr="00A92A24" w:rsidRDefault="00A92A24" w:rsidP="00BA7223">
      <w:pPr>
        <w:spacing w:line="240" w:lineRule="auto"/>
        <w:ind w:firstLine="0"/>
        <w:rPr>
          <w:rFonts w:asciiTheme="minorHAnsi" w:eastAsiaTheme="minorEastAsia" w:hAnsiTheme="minorHAnsi" w:cstheme="minorHAnsi"/>
          <w:b/>
          <w:bCs/>
          <w:color w:val="FFFFFF" w:themeColor="background1"/>
          <w:sz w:val="24"/>
          <w:szCs w:val="20"/>
          <w:lang w:val="sq-AL"/>
        </w:rPr>
      </w:pPr>
      <w:r>
        <w:rPr>
          <w:rFonts w:asciiTheme="minorHAnsi" w:eastAsiaTheme="minorEastAsia" w:hAnsiTheme="minorHAnsi" w:cstheme="minorHAnsi"/>
          <w:b/>
          <w:sz w:val="24"/>
          <w:lang w:val="sq-AL"/>
        </w:rPr>
        <w:lastRenderedPageBreak/>
        <w:t xml:space="preserve">Fusha </w:t>
      </w:r>
      <w:r w:rsidR="00A82383" w:rsidRPr="00A92A24">
        <w:rPr>
          <w:rFonts w:asciiTheme="minorHAnsi" w:eastAsiaTheme="minorEastAsia" w:hAnsiTheme="minorHAnsi" w:cstheme="minorHAnsi"/>
          <w:b/>
          <w:sz w:val="24"/>
          <w:lang w:val="sq-AL"/>
        </w:rPr>
        <w:t xml:space="preserve">e Politikës </w:t>
      </w:r>
      <w:r w:rsidR="00BA7223" w:rsidRPr="00A92A24">
        <w:rPr>
          <w:rFonts w:asciiTheme="minorHAnsi" w:eastAsiaTheme="minorEastAsia" w:hAnsiTheme="minorHAnsi" w:cstheme="minorHAnsi"/>
          <w:b/>
          <w:sz w:val="24"/>
          <w:lang w:val="sq-AL"/>
        </w:rPr>
        <w:t xml:space="preserve">II. </w:t>
      </w:r>
      <w:r w:rsidR="00A82383" w:rsidRPr="00A92A24">
        <w:rPr>
          <w:rFonts w:asciiTheme="minorHAnsi" w:eastAsiaTheme="minorEastAsia" w:hAnsiTheme="minorHAnsi" w:cstheme="minorHAnsi"/>
          <w:b/>
          <w:sz w:val="24"/>
          <w:lang w:val="sq-AL"/>
        </w:rPr>
        <w:t>Mbrojtja dhe Mbajtja e Investimeve</w:t>
      </w:r>
    </w:p>
    <w:p w14:paraId="5E342873" w14:textId="77777777" w:rsidR="00BA7223" w:rsidRPr="00A92A24" w:rsidRDefault="00BA7223" w:rsidP="00BA7223">
      <w:pPr>
        <w:ind w:firstLine="0"/>
        <w:rPr>
          <w:rFonts w:asciiTheme="minorHAnsi" w:hAnsiTheme="minorHAnsi" w:cstheme="minorHAnsi"/>
          <w:szCs w:val="20"/>
          <w:lang w:val="sq-AL"/>
        </w:rPr>
      </w:pPr>
    </w:p>
    <w:tbl>
      <w:tblPr>
        <w:tblStyle w:val="GridTable5Dark-Accent11"/>
        <w:tblW w:w="14935" w:type="dxa"/>
        <w:tblInd w:w="5" w:type="dxa"/>
        <w:tblLayout w:type="fixed"/>
        <w:tblCellMar>
          <w:top w:w="115" w:type="dxa"/>
          <w:left w:w="115" w:type="dxa"/>
          <w:bottom w:w="115" w:type="dxa"/>
          <w:right w:w="115" w:type="dxa"/>
        </w:tblCellMar>
        <w:tblLook w:val="0420" w:firstRow="1" w:lastRow="0" w:firstColumn="0" w:lastColumn="0" w:noHBand="0" w:noVBand="1"/>
      </w:tblPr>
      <w:tblGrid>
        <w:gridCol w:w="2425"/>
        <w:gridCol w:w="2520"/>
        <w:gridCol w:w="900"/>
        <w:gridCol w:w="1260"/>
        <w:gridCol w:w="1980"/>
        <w:gridCol w:w="1080"/>
        <w:gridCol w:w="4770"/>
      </w:tblGrid>
      <w:tr w:rsidR="00A82383" w:rsidRPr="00A92A24" w14:paraId="45D6BFFD" w14:textId="77777777" w:rsidTr="00E95ADD">
        <w:trPr>
          <w:cnfStyle w:val="100000000000" w:firstRow="1" w:lastRow="0" w:firstColumn="0" w:lastColumn="0" w:oddVBand="0" w:evenVBand="0" w:oddHBand="0" w:evenHBand="0" w:firstRowFirstColumn="0" w:firstRowLastColumn="0" w:lastRowFirstColumn="0" w:lastRowLastColumn="0"/>
          <w:trHeight w:val="720"/>
        </w:trPr>
        <w:tc>
          <w:tcPr>
            <w:tcW w:w="2425" w:type="dxa"/>
            <w:tcBorders>
              <w:top w:val="nil"/>
              <w:left w:val="nil"/>
              <w:bottom w:val="nil"/>
            </w:tcBorders>
            <w:vAlign w:val="center"/>
          </w:tcPr>
          <w:p w14:paraId="2EA8F730" w14:textId="32E25AA9" w:rsidR="00A82383" w:rsidRPr="00A92A24" w:rsidRDefault="00A82383" w:rsidP="00D43D3C">
            <w:pPr>
              <w:spacing w:line="240" w:lineRule="auto"/>
              <w:ind w:firstLine="0"/>
              <w:jc w:val="center"/>
              <w:rPr>
                <w:rFonts w:asciiTheme="minorHAnsi" w:eastAsiaTheme="minorEastAsia" w:hAnsiTheme="minorHAnsi" w:cstheme="minorHAnsi"/>
                <w:b w:val="0"/>
                <w:bCs w:val="0"/>
                <w:szCs w:val="20"/>
                <w:lang w:val="sq-AL"/>
              </w:rPr>
            </w:pPr>
            <w:bookmarkStart w:id="8" w:name="_Hlk524355054"/>
            <w:bookmarkEnd w:id="7"/>
            <w:r w:rsidRPr="00A92A24">
              <w:rPr>
                <w:rFonts w:asciiTheme="minorHAnsi" w:eastAsiaTheme="minorEastAsia" w:hAnsiTheme="minorHAnsi" w:cstheme="majorBidi"/>
                <w:szCs w:val="20"/>
                <w:lang w:val="sq-AL"/>
              </w:rPr>
              <w:t>Tema e Reformës  / Angazhimi i RIRA-së</w:t>
            </w:r>
          </w:p>
        </w:tc>
        <w:tc>
          <w:tcPr>
            <w:tcW w:w="2520" w:type="dxa"/>
            <w:tcBorders>
              <w:top w:val="nil"/>
              <w:bottom w:val="nil"/>
            </w:tcBorders>
            <w:vAlign w:val="center"/>
          </w:tcPr>
          <w:p w14:paraId="231FC6E1" w14:textId="58E6B14E" w:rsidR="00A82383" w:rsidRPr="00A92A24" w:rsidRDefault="00A82383" w:rsidP="002E5520">
            <w:pPr>
              <w:spacing w:line="240" w:lineRule="auto"/>
              <w:ind w:firstLine="0"/>
              <w:jc w:val="center"/>
              <w:rPr>
                <w:rFonts w:asciiTheme="minorHAnsi" w:eastAsiaTheme="minorEastAsia" w:hAnsiTheme="minorHAnsi" w:cstheme="minorHAnsi"/>
                <w:b w:val="0"/>
                <w:bCs w:val="0"/>
                <w:szCs w:val="20"/>
                <w:lang w:val="sq-AL"/>
              </w:rPr>
            </w:pPr>
            <w:r w:rsidRPr="00A92A24">
              <w:rPr>
                <w:rFonts w:asciiTheme="minorHAnsi" w:eastAsiaTheme="minorEastAsia" w:hAnsiTheme="minorHAnsi" w:cstheme="minorHAnsi"/>
                <w:szCs w:val="20"/>
                <w:lang w:val="sq-AL"/>
              </w:rPr>
              <w:t>Veprimet e PVRI-së</w:t>
            </w:r>
          </w:p>
        </w:tc>
        <w:tc>
          <w:tcPr>
            <w:tcW w:w="900" w:type="dxa"/>
            <w:tcBorders>
              <w:top w:val="nil"/>
              <w:bottom w:val="nil"/>
            </w:tcBorders>
            <w:vAlign w:val="center"/>
          </w:tcPr>
          <w:p w14:paraId="151D626F" w14:textId="44674999" w:rsidR="00A82383" w:rsidRPr="00A92A24" w:rsidRDefault="00A82383" w:rsidP="002E5520">
            <w:pPr>
              <w:spacing w:line="240" w:lineRule="auto"/>
              <w:ind w:firstLine="0"/>
              <w:jc w:val="center"/>
              <w:rPr>
                <w:rFonts w:asciiTheme="minorHAnsi" w:eastAsiaTheme="minorEastAsia" w:hAnsiTheme="minorHAnsi" w:cstheme="minorHAnsi"/>
                <w:b w:val="0"/>
                <w:bCs w:val="0"/>
                <w:szCs w:val="20"/>
                <w:lang w:val="sq-AL"/>
              </w:rPr>
            </w:pPr>
            <w:r w:rsidRPr="00A92A24">
              <w:rPr>
                <w:rFonts w:asciiTheme="minorHAnsi" w:eastAsiaTheme="minorEastAsia" w:hAnsiTheme="minorHAnsi" w:cstheme="minorHAnsi"/>
                <w:szCs w:val="20"/>
                <w:lang w:val="sq-AL"/>
              </w:rPr>
              <w:t>Afati kohor</w:t>
            </w:r>
          </w:p>
        </w:tc>
        <w:tc>
          <w:tcPr>
            <w:tcW w:w="1260" w:type="dxa"/>
            <w:tcBorders>
              <w:top w:val="nil"/>
              <w:bottom w:val="nil"/>
            </w:tcBorders>
            <w:vAlign w:val="center"/>
          </w:tcPr>
          <w:p w14:paraId="74C2A281" w14:textId="328709B6" w:rsidR="00A82383" w:rsidRPr="00A92A24" w:rsidRDefault="00A82383" w:rsidP="002E5520">
            <w:pPr>
              <w:spacing w:line="240" w:lineRule="auto"/>
              <w:ind w:firstLine="0"/>
              <w:jc w:val="center"/>
              <w:rPr>
                <w:rFonts w:asciiTheme="minorHAnsi" w:eastAsiaTheme="minorEastAsia" w:hAnsiTheme="minorHAnsi" w:cstheme="minorHAnsi"/>
                <w:szCs w:val="20"/>
                <w:lang w:val="sq-AL"/>
              </w:rPr>
            </w:pPr>
            <w:r w:rsidRPr="00A92A24">
              <w:rPr>
                <w:rFonts w:asciiTheme="minorHAnsi" w:eastAsiaTheme="minorEastAsia" w:hAnsiTheme="minorHAnsi" w:cstheme="minorHAnsi"/>
                <w:szCs w:val="20"/>
                <w:lang w:val="sq-AL"/>
              </w:rPr>
              <w:t>Agjencia udhëheqëse</w:t>
            </w:r>
          </w:p>
        </w:tc>
        <w:tc>
          <w:tcPr>
            <w:tcW w:w="1980" w:type="dxa"/>
            <w:tcBorders>
              <w:top w:val="nil"/>
              <w:bottom w:val="nil"/>
            </w:tcBorders>
            <w:vAlign w:val="center"/>
          </w:tcPr>
          <w:p w14:paraId="2355F4BF" w14:textId="7FDF15A2" w:rsidR="00A82383" w:rsidRPr="00A92A24" w:rsidRDefault="00A82383" w:rsidP="002E5520">
            <w:pPr>
              <w:spacing w:line="240" w:lineRule="auto"/>
              <w:ind w:firstLine="0"/>
              <w:jc w:val="center"/>
              <w:rPr>
                <w:rFonts w:asciiTheme="minorHAnsi" w:eastAsiaTheme="minorEastAsia" w:hAnsiTheme="minorHAnsi" w:cstheme="minorHAnsi"/>
                <w:b w:val="0"/>
                <w:bCs w:val="0"/>
                <w:szCs w:val="20"/>
                <w:lang w:val="sq-AL"/>
              </w:rPr>
            </w:pPr>
            <w:r w:rsidRPr="00A92A24">
              <w:rPr>
                <w:rFonts w:asciiTheme="minorHAnsi" w:eastAsiaTheme="minorEastAsia" w:hAnsiTheme="minorHAnsi" w:cstheme="minorHAnsi"/>
                <w:szCs w:val="20"/>
                <w:lang w:val="sq-AL"/>
              </w:rPr>
              <w:t>Rezultati</w:t>
            </w:r>
          </w:p>
        </w:tc>
        <w:tc>
          <w:tcPr>
            <w:tcW w:w="1080" w:type="dxa"/>
            <w:tcBorders>
              <w:top w:val="nil"/>
              <w:bottom w:val="nil"/>
            </w:tcBorders>
            <w:vAlign w:val="center"/>
          </w:tcPr>
          <w:p w14:paraId="339B149C" w14:textId="423130CA" w:rsidR="00A82383" w:rsidRPr="00A92A24" w:rsidRDefault="00A82383" w:rsidP="002E5520">
            <w:pPr>
              <w:spacing w:line="240" w:lineRule="auto"/>
              <w:ind w:firstLine="0"/>
              <w:jc w:val="center"/>
              <w:rPr>
                <w:rFonts w:asciiTheme="minorHAnsi" w:eastAsiaTheme="minorEastAsia" w:hAnsiTheme="minorHAnsi" w:cstheme="minorHAnsi"/>
                <w:b w:val="0"/>
                <w:bCs w:val="0"/>
                <w:szCs w:val="20"/>
                <w:lang w:val="sq-AL"/>
              </w:rPr>
            </w:pPr>
            <w:r w:rsidRPr="00A92A24">
              <w:rPr>
                <w:rFonts w:asciiTheme="minorHAnsi" w:eastAsiaTheme="minorEastAsia" w:hAnsiTheme="minorHAnsi" w:cstheme="minorHAnsi"/>
                <w:szCs w:val="20"/>
                <w:lang w:val="sq-AL"/>
              </w:rPr>
              <w:t>Mbështetja e donatorëve</w:t>
            </w:r>
          </w:p>
        </w:tc>
        <w:tc>
          <w:tcPr>
            <w:tcW w:w="4770" w:type="dxa"/>
            <w:tcBorders>
              <w:top w:val="nil"/>
              <w:bottom w:val="nil"/>
              <w:right w:val="nil"/>
            </w:tcBorders>
            <w:vAlign w:val="center"/>
          </w:tcPr>
          <w:p w14:paraId="5F727A9D" w14:textId="7B429A09" w:rsidR="00A82383" w:rsidRPr="00A92A24" w:rsidRDefault="00A82383" w:rsidP="002E5520">
            <w:pPr>
              <w:spacing w:line="240" w:lineRule="auto"/>
              <w:ind w:firstLine="0"/>
              <w:jc w:val="center"/>
              <w:rPr>
                <w:rFonts w:asciiTheme="minorHAnsi" w:eastAsiaTheme="minorEastAsia" w:hAnsiTheme="minorHAnsi" w:cstheme="minorHAnsi"/>
                <w:bCs w:val="0"/>
                <w:szCs w:val="20"/>
                <w:lang w:val="sq-AL"/>
              </w:rPr>
            </w:pPr>
            <w:r w:rsidRPr="00A92A24">
              <w:rPr>
                <w:rFonts w:asciiTheme="minorHAnsi" w:eastAsiaTheme="minorEastAsia" w:hAnsiTheme="minorHAnsi" w:cstheme="minorHAnsi"/>
                <w:szCs w:val="20"/>
                <w:lang w:val="sq-AL"/>
              </w:rPr>
              <w:t>Komentet</w:t>
            </w:r>
          </w:p>
        </w:tc>
      </w:tr>
      <w:bookmarkEnd w:id="8"/>
      <w:tr w:rsidR="002E5520" w:rsidRPr="00A92A24" w14:paraId="5A87B125" w14:textId="77777777" w:rsidTr="003B63AB">
        <w:trPr>
          <w:cnfStyle w:val="000000100000" w:firstRow="0" w:lastRow="0" w:firstColumn="0" w:lastColumn="0" w:oddVBand="0" w:evenVBand="0" w:oddHBand="1" w:evenHBand="0" w:firstRowFirstColumn="0" w:firstRowLastColumn="0" w:lastRowFirstColumn="0" w:lastRowLastColumn="0"/>
          <w:trHeight w:val="298"/>
        </w:trPr>
        <w:tc>
          <w:tcPr>
            <w:tcW w:w="14935" w:type="dxa"/>
            <w:gridSpan w:val="7"/>
          </w:tcPr>
          <w:p w14:paraId="1EE88D76" w14:textId="06A9E3B5" w:rsidR="002E5520" w:rsidRPr="00A92A24" w:rsidRDefault="002E5520" w:rsidP="002E5520">
            <w:pPr>
              <w:spacing w:line="240" w:lineRule="auto"/>
              <w:ind w:left="240" w:firstLine="0"/>
              <w:jc w:val="left"/>
              <w:rPr>
                <w:rFonts w:asciiTheme="minorHAnsi" w:eastAsiaTheme="minorEastAsia" w:hAnsiTheme="minorHAnsi" w:cstheme="minorHAnsi"/>
                <w:b/>
                <w:bCs/>
                <w:color w:val="FFFFFF" w:themeColor="background1"/>
                <w:szCs w:val="20"/>
                <w:lang w:val="sq-AL"/>
              </w:rPr>
            </w:pPr>
            <w:r w:rsidRPr="00A92A24">
              <w:rPr>
                <w:rFonts w:asciiTheme="minorHAnsi" w:eastAsiaTheme="minorEastAsia" w:hAnsiTheme="minorHAnsi" w:cstheme="minorHAnsi"/>
                <w:i/>
                <w:lang w:val="sq-AL"/>
              </w:rPr>
              <w:t xml:space="preserve">3. </w:t>
            </w:r>
            <w:r w:rsidR="00A82383" w:rsidRPr="00A92A24">
              <w:rPr>
                <w:rFonts w:asciiTheme="minorHAnsi" w:eastAsiaTheme="minorEastAsia" w:hAnsiTheme="minorHAnsi" w:cstheme="minorHAnsi"/>
                <w:i/>
                <w:lang w:val="sq-AL"/>
              </w:rPr>
              <w:t xml:space="preserve">Harmonizimi i kornizave ligjore për investime, duke përfshirë </w:t>
            </w:r>
            <w:r w:rsidR="00164247" w:rsidRPr="00A92A24">
              <w:rPr>
                <w:rFonts w:asciiTheme="minorHAnsi" w:eastAsiaTheme="minorEastAsia" w:hAnsiTheme="minorHAnsi" w:cstheme="minorHAnsi"/>
                <w:i/>
                <w:lang w:val="sq-AL"/>
              </w:rPr>
              <w:t>MNI-t</w:t>
            </w:r>
            <w:r w:rsidR="00A82383" w:rsidRPr="00A92A24">
              <w:rPr>
                <w:rFonts w:asciiTheme="minorHAnsi" w:eastAsiaTheme="minorEastAsia" w:hAnsiTheme="minorHAnsi" w:cstheme="minorHAnsi"/>
                <w:i/>
                <w:lang w:val="sq-AL"/>
              </w:rPr>
              <w:t>ë, me praktikat e mira ndërkombëtare dhe standardet e BE-së</w:t>
            </w:r>
          </w:p>
        </w:tc>
      </w:tr>
      <w:tr w:rsidR="004847AA" w:rsidRPr="00612497" w14:paraId="5E8A05C7" w14:textId="77777777" w:rsidTr="0062412B">
        <w:trPr>
          <w:trHeight w:val="1014"/>
        </w:trPr>
        <w:tc>
          <w:tcPr>
            <w:tcW w:w="2425" w:type="dxa"/>
            <w:vMerge w:val="restart"/>
          </w:tcPr>
          <w:p w14:paraId="22A3CB02" w14:textId="2462D85B" w:rsidR="004847AA" w:rsidRPr="00A92A24" w:rsidRDefault="004847AA" w:rsidP="00B83E9E">
            <w:pPr>
              <w:spacing w:after="120" w:line="240" w:lineRule="auto"/>
              <w:ind w:firstLine="0"/>
              <w:jc w:val="left"/>
              <w:rPr>
                <w:rFonts w:asciiTheme="majorHAnsi" w:eastAsiaTheme="minorEastAsia" w:hAnsiTheme="majorHAnsi" w:cstheme="majorHAnsi"/>
                <w:i/>
                <w:iCs/>
                <w:szCs w:val="20"/>
                <w:lang w:val="sq-AL"/>
              </w:rPr>
            </w:pPr>
            <w:bookmarkStart w:id="9" w:name="_Hlk524355364"/>
            <w:r w:rsidRPr="00A92A24">
              <w:rPr>
                <w:rFonts w:asciiTheme="majorHAnsi" w:eastAsiaTheme="minorEastAsia" w:hAnsiTheme="majorHAnsi" w:cstheme="majorHAnsi"/>
                <w:i/>
                <w:iCs/>
                <w:szCs w:val="20"/>
                <w:lang w:val="sq-AL"/>
              </w:rPr>
              <w:t xml:space="preserve">3.1 </w:t>
            </w:r>
            <w:r w:rsidR="001C7D65" w:rsidRPr="00A92A24">
              <w:rPr>
                <w:rFonts w:asciiTheme="majorHAnsi" w:eastAsiaTheme="minorEastAsia" w:hAnsiTheme="majorHAnsi" w:cstheme="majorHAnsi"/>
                <w:i/>
                <w:iCs/>
                <w:szCs w:val="20"/>
                <w:lang w:val="sq-AL"/>
              </w:rPr>
              <w:t xml:space="preserve">Të ndërmerret një </w:t>
            </w:r>
            <w:proofErr w:type="spellStart"/>
            <w:r w:rsidR="001C7D65" w:rsidRPr="00A92A24">
              <w:rPr>
                <w:rFonts w:asciiTheme="majorHAnsi" w:eastAsiaTheme="minorEastAsia" w:hAnsiTheme="majorHAnsi" w:cstheme="majorHAnsi"/>
                <w:i/>
                <w:iCs/>
                <w:szCs w:val="20"/>
                <w:lang w:val="sq-AL"/>
              </w:rPr>
              <w:t>hartëzim</w:t>
            </w:r>
            <w:proofErr w:type="spellEnd"/>
            <w:r w:rsidR="001C7D65" w:rsidRPr="00A92A24">
              <w:rPr>
                <w:rFonts w:asciiTheme="majorHAnsi" w:eastAsiaTheme="minorEastAsia" w:hAnsiTheme="majorHAnsi" w:cstheme="majorHAnsi"/>
                <w:i/>
                <w:iCs/>
                <w:szCs w:val="20"/>
                <w:lang w:val="sq-AL"/>
              </w:rPr>
              <w:t xml:space="preserve"> i detajuar dhe </w:t>
            </w:r>
            <w:r w:rsidR="00A4505C">
              <w:rPr>
                <w:rFonts w:asciiTheme="majorHAnsi" w:eastAsiaTheme="minorEastAsia" w:hAnsiTheme="majorHAnsi" w:cstheme="majorHAnsi"/>
                <w:i/>
                <w:iCs/>
                <w:szCs w:val="20"/>
                <w:lang w:val="sq-AL"/>
              </w:rPr>
              <w:t>nj</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 rishikim </w:t>
            </w:r>
            <w:r w:rsidR="001C7D65" w:rsidRPr="00A92A24">
              <w:rPr>
                <w:rFonts w:asciiTheme="majorHAnsi" w:eastAsiaTheme="minorEastAsia" w:hAnsiTheme="majorHAnsi" w:cstheme="majorHAnsi"/>
                <w:i/>
                <w:iCs/>
                <w:szCs w:val="20"/>
                <w:lang w:val="sq-AL"/>
              </w:rPr>
              <w:t>i hollësishëm krahasues i marrëveshjeve ndërkombëtare</w:t>
            </w:r>
            <w:r w:rsidR="001022F6" w:rsidRPr="00A92A24">
              <w:rPr>
                <w:rFonts w:asciiTheme="majorHAnsi" w:eastAsiaTheme="minorEastAsia" w:hAnsiTheme="majorHAnsi" w:cstheme="majorHAnsi"/>
                <w:i/>
                <w:iCs/>
                <w:szCs w:val="20"/>
                <w:lang w:val="sq-AL"/>
              </w:rPr>
              <w:t xml:space="preserve"> </w:t>
            </w:r>
            <w:r w:rsidR="001C7D65" w:rsidRPr="00A92A24">
              <w:rPr>
                <w:rFonts w:asciiTheme="majorHAnsi" w:eastAsiaTheme="minorEastAsia" w:hAnsiTheme="majorHAnsi" w:cstheme="majorHAnsi"/>
                <w:i/>
                <w:iCs/>
                <w:szCs w:val="20"/>
                <w:lang w:val="sq-AL"/>
              </w:rPr>
              <w:t xml:space="preserve"> të investimeve</w:t>
            </w:r>
            <w:r w:rsidR="00A92A24">
              <w:rPr>
                <w:rFonts w:asciiTheme="majorHAnsi" w:eastAsiaTheme="minorEastAsia" w:hAnsiTheme="majorHAnsi" w:cstheme="majorHAnsi"/>
                <w:i/>
                <w:iCs/>
                <w:szCs w:val="20"/>
                <w:lang w:val="sq-AL"/>
              </w:rPr>
              <w:t xml:space="preserve"> (MNI)</w:t>
            </w:r>
            <w:r w:rsidR="001C7D65" w:rsidRPr="00A92A24">
              <w:rPr>
                <w:rFonts w:asciiTheme="majorHAnsi" w:eastAsiaTheme="minorEastAsia" w:hAnsiTheme="majorHAnsi" w:cstheme="majorHAnsi"/>
                <w:i/>
                <w:iCs/>
                <w:szCs w:val="20"/>
                <w:lang w:val="sq-AL"/>
              </w:rPr>
              <w:t xml:space="preserve"> </w:t>
            </w:r>
            <w:r w:rsidR="00A92A24">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A92A24">
              <w:rPr>
                <w:rFonts w:asciiTheme="majorHAnsi" w:eastAsiaTheme="minorEastAsia" w:hAnsiTheme="majorHAnsi" w:cstheme="majorHAnsi"/>
                <w:i/>
                <w:iCs/>
                <w:szCs w:val="20"/>
                <w:lang w:val="sq-AL"/>
              </w:rPr>
              <w:t xml:space="preserve"> </w:t>
            </w:r>
            <w:r w:rsidR="001C7D65" w:rsidRPr="00A92A24">
              <w:rPr>
                <w:rFonts w:asciiTheme="majorHAnsi" w:eastAsiaTheme="minorEastAsia" w:hAnsiTheme="majorHAnsi" w:cstheme="majorHAnsi"/>
                <w:i/>
                <w:iCs/>
                <w:szCs w:val="20"/>
                <w:lang w:val="sq-AL"/>
              </w:rPr>
              <w:t>BP6</w:t>
            </w:r>
            <w:r w:rsidRPr="00A92A24">
              <w:rPr>
                <w:rFonts w:asciiTheme="majorHAnsi" w:eastAsiaTheme="minorEastAsia" w:hAnsiTheme="majorHAnsi" w:cstheme="majorHAnsi"/>
                <w:i/>
                <w:iCs/>
                <w:szCs w:val="20"/>
                <w:vertAlign w:val="superscript"/>
                <w:lang w:val="sq-AL"/>
              </w:rPr>
              <w:footnoteReference w:id="6"/>
            </w:r>
            <w:r w:rsidRPr="00A92A24">
              <w:rPr>
                <w:rFonts w:asciiTheme="majorHAnsi" w:eastAsiaTheme="minorEastAsia" w:hAnsiTheme="majorHAnsi" w:cstheme="majorHAnsi"/>
                <w:i/>
                <w:iCs/>
                <w:szCs w:val="20"/>
                <w:lang w:val="sq-AL"/>
              </w:rPr>
              <w:t xml:space="preserve">, </w:t>
            </w:r>
            <w:r w:rsidR="001C7D65" w:rsidRPr="00A92A24">
              <w:rPr>
                <w:rFonts w:asciiTheme="majorHAnsi" w:eastAsiaTheme="minorEastAsia" w:hAnsiTheme="majorHAnsi" w:cstheme="majorHAnsi"/>
                <w:i/>
                <w:iCs/>
                <w:szCs w:val="20"/>
                <w:lang w:val="sq-AL"/>
              </w:rPr>
              <w:t xml:space="preserve">me fokus të veçantë në TBI-të, duke i krahasuar ato me </w:t>
            </w:r>
            <w:r w:rsidR="00164247" w:rsidRPr="00A92A24">
              <w:rPr>
                <w:rFonts w:asciiTheme="majorHAnsi" w:eastAsiaTheme="minorEastAsia" w:hAnsiTheme="majorHAnsi" w:cstheme="majorHAnsi"/>
                <w:i/>
                <w:iCs/>
                <w:szCs w:val="20"/>
                <w:lang w:val="sq-AL"/>
              </w:rPr>
              <w:t>MNI</w:t>
            </w:r>
            <w:r w:rsidR="00A4505C">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 e gjenerat</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s s</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 re, </w:t>
            </w:r>
            <w:r w:rsidR="001C7D65" w:rsidRPr="00A92A24">
              <w:rPr>
                <w:rFonts w:asciiTheme="majorHAnsi" w:eastAsiaTheme="minorEastAsia" w:hAnsiTheme="majorHAnsi" w:cstheme="majorHAnsi"/>
                <w:i/>
                <w:iCs/>
                <w:szCs w:val="20"/>
                <w:lang w:val="sq-AL"/>
              </w:rPr>
              <w:t xml:space="preserve">për të rritur </w:t>
            </w:r>
            <w:r w:rsidR="00A4505C">
              <w:rPr>
                <w:rFonts w:asciiTheme="majorHAnsi" w:eastAsiaTheme="minorEastAsia" w:hAnsiTheme="majorHAnsi" w:cstheme="majorHAnsi"/>
                <w:i/>
                <w:iCs/>
                <w:szCs w:val="20"/>
                <w:lang w:val="sq-AL"/>
              </w:rPr>
              <w:t>p</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rafrimin </w:t>
            </w:r>
            <w:r w:rsidR="001C7D65" w:rsidRPr="00A92A24">
              <w:rPr>
                <w:rFonts w:asciiTheme="majorHAnsi" w:eastAsiaTheme="minorEastAsia" w:hAnsiTheme="majorHAnsi" w:cstheme="majorHAnsi"/>
                <w:i/>
                <w:iCs/>
                <w:szCs w:val="20"/>
                <w:lang w:val="sq-AL"/>
              </w:rPr>
              <w:t>me standardet e orientuara drejt reform</w:t>
            </w:r>
            <w:r w:rsidR="00A4505C">
              <w:rPr>
                <w:rFonts w:asciiTheme="majorHAnsi" w:eastAsiaTheme="minorEastAsia" w:hAnsiTheme="majorHAnsi" w:cstheme="majorHAnsi"/>
                <w:i/>
                <w:iCs/>
                <w:szCs w:val="20"/>
                <w:lang w:val="sq-AL"/>
              </w:rPr>
              <w:t>ave t</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 </w:t>
            </w:r>
            <w:r w:rsidR="00164247" w:rsidRPr="00A92A24">
              <w:rPr>
                <w:rFonts w:asciiTheme="majorHAnsi" w:eastAsiaTheme="minorEastAsia" w:hAnsiTheme="majorHAnsi" w:cstheme="majorHAnsi"/>
                <w:i/>
                <w:iCs/>
                <w:szCs w:val="20"/>
                <w:lang w:val="sq-AL"/>
              </w:rPr>
              <w:t>MNI</w:t>
            </w:r>
            <w:r w:rsidR="00A4505C">
              <w:rPr>
                <w:rFonts w:asciiTheme="majorHAnsi" w:eastAsiaTheme="minorEastAsia" w:hAnsiTheme="majorHAnsi" w:cstheme="majorHAnsi"/>
                <w:i/>
                <w:iCs/>
                <w:szCs w:val="20"/>
                <w:lang w:val="sq-AL"/>
              </w:rPr>
              <w:t xml:space="preserve"> t</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 gjenerat</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s s</w:t>
            </w:r>
            <w:r w:rsidR="006822F7">
              <w:rPr>
                <w:rFonts w:asciiTheme="majorHAnsi" w:eastAsiaTheme="minorEastAsia" w:hAnsiTheme="majorHAnsi" w:cstheme="majorHAnsi"/>
                <w:i/>
                <w:iCs/>
                <w:szCs w:val="20"/>
                <w:lang w:val="sq-AL"/>
              </w:rPr>
              <w:t>ë</w:t>
            </w:r>
            <w:r w:rsidR="00A4505C">
              <w:rPr>
                <w:rFonts w:asciiTheme="majorHAnsi" w:eastAsiaTheme="minorEastAsia" w:hAnsiTheme="majorHAnsi" w:cstheme="majorHAnsi"/>
                <w:i/>
                <w:iCs/>
                <w:szCs w:val="20"/>
                <w:lang w:val="sq-AL"/>
              </w:rPr>
              <w:t xml:space="preserve"> re</w:t>
            </w:r>
            <w:r w:rsidR="001C7D65" w:rsidRPr="00A92A24">
              <w:rPr>
                <w:rFonts w:asciiTheme="majorHAnsi" w:eastAsiaTheme="minorEastAsia" w:hAnsiTheme="majorHAnsi" w:cstheme="majorHAnsi"/>
                <w:i/>
                <w:iCs/>
                <w:szCs w:val="20"/>
                <w:lang w:val="sq-AL"/>
              </w:rPr>
              <w:t xml:space="preserve"> / </w:t>
            </w:r>
            <w:r w:rsidR="00B83E9E">
              <w:rPr>
                <w:rFonts w:asciiTheme="majorHAnsi" w:eastAsiaTheme="minorEastAsia" w:hAnsiTheme="majorHAnsi" w:cstheme="majorHAnsi"/>
                <w:i/>
                <w:iCs/>
                <w:szCs w:val="20"/>
                <w:lang w:val="sq-AL"/>
              </w:rPr>
              <w:t>s</w:t>
            </w:r>
            <w:r w:rsidR="00A4505C">
              <w:rPr>
                <w:rFonts w:asciiTheme="majorHAnsi" w:eastAsiaTheme="minorEastAsia" w:hAnsiTheme="majorHAnsi" w:cstheme="majorHAnsi"/>
                <w:i/>
                <w:iCs/>
                <w:szCs w:val="20"/>
                <w:lang w:val="sq-AL"/>
              </w:rPr>
              <w:t xml:space="preserve">tandardet e </w:t>
            </w:r>
            <w:r w:rsidR="001C7D65" w:rsidRPr="00A92A24">
              <w:rPr>
                <w:rFonts w:asciiTheme="majorHAnsi" w:eastAsiaTheme="minorEastAsia" w:hAnsiTheme="majorHAnsi" w:cstheme="majorHAnsi"/>
                <w:i/>
                <w:iCs/>
                <w:szCs w:val="20"/>
                <w:lang w:val="sq-AL"/>
              </w:rPr>
              <w:t xml:space="preserve">BE </w:t>
            </w:r>
            <w:r w:rsidRPr="00A92A24">
              <w:rPr>
                <w:rFonts w:asciiTheme="majorHAnsi" w:eastAsiaTheme="minorEastAsia" w:hAnsiTheme="majorHAnsi" w:cstheme="majorHAnsi"/>
                <w:i/>
                <w:iCs/>
                <w:szCs w:val="20"/>
                <w:vertAlign w:val="superscript"/>
                <w:lang w:val="sq-AL"/>
              </w:rPr>
              <w:footnoteReference w:id="7"/>
            </w:r>
            <w:r w:rsidRPr="00A92A24">
              <w:rPr>
                <w:rFonts w:asciiTheme="majorHAnsi" w:eastAsiaTheme="minorEastAsia" w:hAnsiTheme="majorHAnsi" w:cstheme="majorHAnsi"/>
                <w:i/>
                <w:iCs/>
                <w:szCs w:val="20"/>
                <w:lang w:val="sq-AL"/>
              </w:rPr>
              <w:t>.</w:t>
            </w:r>
          </w:p>
        </w:tc>
        <w:tc>
          <w:tcPr>
            <w:tcW w:w="2520" w:type="dxa"/>
          </w:tcPr>
          <w:p w14:paraId="00AFDB28" w14:textId="10E74C36" w:rsidR="004847AA" w:rsidRPr="00A92A24" w:rsidRDefault="004847AA" w:rsidP="00B83E9E">
            <w:pPr>
              <w:spacing w:after="120" w:line="240" w:lineRule="auto"/>
              <w:ind w:firstLine="0"/>
              <w:jc w:val="left"/>
              <w:rPr>
                <w:rFonts w:asciiTheme="minorHAnsi" w:eastAsiaTheme="minorEastAsia" w:hAnsiTheme="minorHAnsi" w:cstheme="minorHAnsi"/>
                <w:szCs w:val="20"/>
                <w:lang w:val="sq-AL"/>
              </w:rPr>
            </w:pPr>
            <w:r w:rsidRPr="00A92A24">
              <w:rPr>
                <w:rFonts w:asciiTheme="minorHAnsi" w:eastAsiaTheme="minorEastAsia" w:hAnsiTheme="minorHAnsi" w:cstheme="minorHAnsi"/>
                <w:szCs w:val="20"/>
                <w:lang w:val="sq-AL"/>
              </w:rPr>
              <w:t xml:space="preserve">3.1.1 </w:t>
            </w:r>
            <w:r w:rsidR="008C3BC7" w:rsidRPr="00A92A24">
              <w:rPr>
                <w:rFonts w:asciiTheme="minorHAnsi" w:eastAsiaTheme="minorEastAsia" w:hAnsiTheme="minorHAnsi" w:cstheme="minorBidi"/>
                <w:szCs w:val="20"/>
                <w:lang w:val="sq-AL"/>
              </w:rPr>
              <w:t xml:space="preserve">Të ndërmerret një </w:t>
            </w:r>
            <w:proofErr w:type="spellStart"/>
            <w:r w:rsidR="008C3BC7" w:rsidRPr="00A92A24">
              <w:rPr>
                <w:rFonts w:asciiTheme="minorHAnsi" w:eastAsiaTheme="minorEastAsia" w:hAnsiTheme="minorHAnsi" w:cstheme="minorBidi"/>
                <w:szCs w:val="20"/>
                <w:lang w:val="sq-AL"/>
              </w:rPr>
              <w:t>hartëzim</w:t>
            </w:r>
            <w:proofErr w:type="spellEnd"/>
            <w:r w:rsidR="008C3BC7" w:rsidRPr="00A92A24">
              <w:rPr>
                <w:rFonts w:asciiTheme="minorHAnsi" w:eastAsiaTheme="minorEastAsia" w:hAnsiTheme="minorHAnsi" w:cstheme="minorBidi"/>
                <w:szCs w:val="20"/>
                <w:lang w:val="sq-AL"/>
              </w:rPr>
              <w:t xml:space="preserve"> i plotë dhe </w:t>
            </w:r>
            <w:r w:rsidR="00B83E9E">
              <w:rPr>
                <w:rFonts w:asciiTheme="minorHAnsi" w:eastAsiaTheme="minorEastAsia" w:hAnsiTheme="minorHAnsi" w:cstheme="minorBidi"/>
                <w:szCs w:val="20"/>
                <w:lang w:val="sq-AL"/>
              </w:rPr>
              <w:t xml:space="preserve">rishikim </w:t>
            </w:r>
            <w:r w:rsidR="008C3BC7" w:rsidRPr="00A92A24">
              <w:rPr>
                <w:rFonts w:asciiTheme="minorHAnsi" w:eastAsiaTheme="minorEastAsia" w:hAnsiTheme="minorHAnsi" w:cstheme="minorBidi"/>
                <w:szCs w:val="20"/>
                <w:lang w:val="sq-AL"/>
              </w:rPr>
              <w:t xml:space="preserve">gjithëpërfshirës i </w:t>
            </w:r>
            <w:r w:rsidR="00164247" w:rsidRPr="00A92A24">
              <w:rPr>
                <w:rFonts w:asciiTheme="minorHAnsi" w:eastAsiaTheme="minorEastAsia" w:hAnsiTheme="minorHAnsi" w:cstheme="minorBidi"/>
                <w:szCs w:val="20"/>
                <w:lang w:val="sq-AL"/>
              </w:rPr>
              <w:t>MNI</w:t>
            </w:r>
            <w:r w:rsidR="008C3BC7" w:rsidRPr="00A92A24">
              <w:rPr>
                <w:rFonts w:asciiTheme="minorHAnsi" w:eastAsiaTheme="minorEastAsia" w:hAnsiTheme="minorHAnsi" w:cstheme="minorBidi"/>
                <w:szCs w:val="20"/>
                <w:lang w:val="sq-AL"/>
              </w:rPr>
              <w:t xml:space="preserve">-ve aktualisht në fuqi në Kosovë </w:t>
            </w:r>
            <w:r w:rsidRPr="00A92A24">
              <w:rPr>
                <w:rFonts w:asciiTheme="minorHAnsi" w:eastAsiaTheme="minorEastAsia" w:hAnsiTheme="minorHAnsi" w:cstheme="minorHAnsi"/>
                <w:szCs w:val="20"/>
                <w:lang w:val="sq-AL"/>
              </w:rPr>
              <w:t>*</w:t>
            </w:r>
          </w:p>
        </w:tc>
        <w:tc>
          <w:tcPr>
            <w:tcW w:w="900" w:type="dxa"/>
          </w:tcPr>
          <w:p w14:paraId="75772F52" w14:textId="1EB9B50D" w:rsidR="004847AA" w:rsidRPr="00A92A24" w:rsidRDefault="0006464E" w:rsidP="004847AA">
            <w:pPr>
              <w:spacing w:line="240" w:lineRule="auto"/>
              <w:ind w:firstLine="0"/>
              <w:jc w:val="left"/>
              <w:rPr>
                <w:rFonts w:asciiTheme="minorHAnsi" w:eastAsiaTheme="minorEastAsia" w:hAnsiTheme="minorHAnsi" w:cstheme="minorHAnsi"/>
                <w:szCs w:val="20"/>
                <w:lang w:val="sq-AL"/>
              </w:rPr>
            </w:pPr>
            <w:r w:rsidRPr="00A92A24">
              <w:rPr>
                <w:rFonts w:asciiTheme="minorHAnsi" w:eastAsiaTheme="minorEastAsia" w:hAnsiTheme="minorHAnsi" w:cstheme="minorHAnsi"/>
                <w:szCs w:val="20"/>
                <w:lang w:val="sq-AL"/>
              </w:rPr>
              <w:t>Qershor</w:t>
            </w:r>
            <w:r w:rsidR="004847AA" w:rsidRPr="00A92A24">
              <w:rPr>
                <w:rFonts w:asciiTheme="minorHAnsi" w:eastAsiaTheme="minorEastAsia" w:hAnsiTheme="minorHAnsi" w:cstheme="minorHAnsi"/>
                <w:szCs w:val="20"/>
                <w:lang w:val="sq-AL"/>
              </w:rPr>
              <w:t xml:space="preserve"> 2019</w:t>
            </w:r>
          </w:p>
        </w:tc>
        <w:tc>
          <w:tcPr>
            <w:tcW w:w="1260" w:type="dxa"/>
          </w:tcPr>
          <w:p w14:paraId="1392DDF6" w14:textId="3C2F61B3" w:rsidR="004847AA" w:rsidRPr="00A92A24" w:rsidRDefault="0063032B" w:rsidP="004847AA">
            <w:pPr>
              <w:spacing w:after="120" w:line="240" w:lineRule="auto"/>
              <w:ind w:firstLine="0"/>
              <w:jc w:val="left"/>
              <w:rPr>
                <w:rFonts w:asciiTheme="minorHAnsi" w:eastAsiaTheme="minorEastAsia" w:hAnsiTheme="minorHAnsi" w:cstheme="minorHAnsi"/>
                <w:szCs w:val="20"/>
                <w:lang w:val="sq-AL"/>
              </w:rPr>
            </w:pPr>
            <w:r w:rsidRPr="00A92A24">
              <w:rPr>
                <w:rFonts w:asciiTheme="minorHAnsi" w:eastAsiaTheme="minorEastAsia" w:hAnsiTheme="minorHAnsi" w:cstheme="minorHAnsi"/>
                <w:szCs w:val="20"/>
                <w:lang w:val="sq-AL"/>
              </w:rPr>
              <w:t>Ministria e Tregtisë dhe Industrisë</w:t>
            </w:r>
          </w:p>
        </w:tc>
        <w:tc>
          <w:tcPr>
            <w:tcW w:w="1980" w:type="dxa"/>
          </w:tcPr>
          <w:p w14:paraId="785F59EB" w14:textId="468974DE" w:rsidR="004847AA" w:rsidRPr="00A92A24" w:rsidRDefault="00851598" w:rsidP="00B83E9E">
            <w:pPr>
              <w:spacing w:after="120" w:line="240" w:lineRule="auto"/>
              <w:ind w:firstLine="0"/>
              <w:jc w:val="left"/>
              <w:rPr>
                <w:rFonts w:asciiTheme="minorHAnsi" w:eastAsiaTheme="minorEastAsia" w:hAnsiTheme="minorHAnsi" w:cstheme="minorHAnsi"/>
                <w:szCs w:val="20"/>
                <w:lang w:val="sq-AL"/>
              </w:rPr>
            </w:pPr>
            <w:r w:rsidRPr="00A92A24">
              <w:rPr>
                <w:rFonts w:asciiTheme="minorHAnsi" w:eastAsiaTheme="minorEastAsia" w:hAnsiTheme="minorHAnsi" w:cstheme="minorHAnsi"/>
                <w:szCs w:val="20"/>
                <w:lang w:val="sq-AL"/>
              </w:rPr>
              <w:t xml:space="preserve">Një raport </w:t>
            </w:r>
            <w:r w:rsidR="00B83E9E">
              <w:rPr>
                <w:rFonts w:asciiTheme="minorHAnsi" w:eastAsiaTheme="minorEastAsia" w:hAnsiTheme="minorHAnsi" w:cstheme="minorHAnsi"/>
                <w:szCs w:val="20"/>
                <w:lang w:val="sq-AL"/>
              </w:rPr>
              <w:t xml:space="preserve">specifik </w:t>
            </w:r>
            <w:r w:rsidRPr="00A92A24">
              <w:rPr>
                <w:rFonts w:asciiTheme="minorHAnsi" w:eastAsiaTheme="minorEastAsia" w:hAnsiTheme="minorHAnsi" w:cstheme="minorHAnsi"/>
                <w:szCs w:val="20"/>
                <w:lang w:val="sq-AL"/>
              </w:rPr>
              <w:t xml:space="preserve">për ekonominë që </w:t>
            </w:r>
            <w:r w:rsidR="00B83E9E">
              <w:rPr>
                <w:rFonts w:asciiTheme="minorHAnsi" w:eastAsiaTheme="minorEastAsia" w:hAnsiTheme="minorHAnsi" w:cstheme="minorHAnsi"/>
                <w:szCs w:val="20"/>
                <w:lang w:val="sq-AL"/>
              </w:rPr>
              <w:t xml:space="preserve">rishikon </w:t>
            </w:r>
            <w:r w:rsidR="00164247" w:rsidRPr="00A92A24">
              <w:rPr>
                <w:rFonts w:asciiTheme="minorHAnsi" w:eastAsiaTheme="minorEastAsia" w:hAnsiTheme="minorHAnsi" w:cstheme="minorHAnsi"/>
                <w:szCs w:val="20"/>
                <w:lang w:val="sq-AL"/>
              </w:rPr>
              <w:t>MNI</w:t>
            </w:r>
            <w:r w:rsidRPr="00A92A24">
              <w:rPr>
                <w:rFonts w:asciiTheme="minorHAnsi" w:eastAsiaTheme="minorEastAsia" w:hAnsiTheme="minorHAnsi" w:cstheme="minorHAnsi"/>
                <w:szCs w:val="20"/>
                <w:lang w:val="sq-AL"/>
              </w:rPr>
              <w:t xml:space="preserve">-të e Kosovës*, duke i krahasuar ato me </w:t>
            </w:r>
            <w:r w:rsidR="00164247" w:rsidRPr="00A92A24">
              <w:rPr>
                <w:rFonts w:asciiTheme="minorHAnsi" w:eastAsiaTheme="minorEastAsia" w:hAnsiTheme="minorHAnsi" w:cstheme="minorHAnsi"/>
                <w:szCs w:val="20"/>
                <w:lang w:val="sq-AL"/>
              </w:rPr>
              <w:t>MNI</w:t>
            </w:r>
            <w:r w:rsidRPr="00A92A24">
              <w:rPr>
                <w:rFonts w:asciiTheme="minorHAnsi" w:eastAsiaTheme="minorEastAsia" w:hAnsiTheme="minorHAnsi" w:cstheme="minorHAnsi"/>
                <w:szCs w:val="20"/>
                <w:lang w:val="sq-AL"/>
              </w:rPr>
              <w:t xml:space="preserve">-të e ekonomive të tjera të BP-së dhe duke i krahasuar ato me </w:t>
            </w:r>
            <w:r w:rsidR="00164247" w:rsidRPr="00A92A24">
              <w:rPr>
                <w:rFonts w:asciiTheme="minorHAnsi" w:eastAsiaTheme="minorEastAsia" w:hAnsiTheme="minorHAnsi" w:cstheme="minorHAnsi"/>
                <w:szCs w:val="20"/>
                <w:lang w:val="sq-AL"/>
              </w:rPr>
              <w:t>MNI</w:t>
            </w:r>
            <w:r w:rsidR="00B83E9E">
              <w:rPr>
                <w:rFonts w:asciiTheme="minorHAnsi" w:eastAsiaTheme="minorEastAsia" w:hAnsiTheme="minorHAnsi" w:cstheme="minorHAnsi"/>
                <w:szCs w:val="20"/>
                <w:lang w:val="sq-AL"/>
              </w:rPr>
              <w:t>-t</w:t>
            </w:r>
            <w:r w:rsidRPr="00A92A24">
              <w:rPr>
                <w:rFonts w:asciiTheme="minorHAnsi" w:eastAsiaTheme="minorEastAsia" w:hAnsiTheme="minorHAnsi" w:cstheme="minorHAnsi"/>
                <w:szCs w:val="20"/>
                <w:lang w:val="sq-AL"/>
              </w:rPr>
              <w:t xml:space="preserve">ë </w:t>
            </w:r>
            <w:r w:rsidR="00B83E9E">
              <w:rPr>
                <w:rFonts w:asciiTheme="minorHAnsi" w:eastAsiaTheme="minorEastAsia" w:hAnsiTheme="minorHAnsi" w:cstheme="minorHAnsi"/>
                <w:szCs w:val="20"/>
                <w:lang w:val="sq-AL"/>
              </w:rPr>
              <w:t>e gjenerat</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s s</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 xml:space="preserve"> re </w:t>
            </w:r>
            <w:r w:rsidRPr="00A92A24">
              <w:rPr>
                <w:rFonts w:asciiTheme="minorHAnsi" w:eastAsiaTheme="minorEastAsia" w:hAnsiTheme="minorHAnsi" w:cstheme="minorHAnsi"/>
                <w:szCs w:val="20"/>
                <w:lang w:val="sq-AL"/>
              </w:rPr>
              <w:t>dhe standardet e BE-së.</w:t>
            </w:r>
          </w:p>
        </w:tc>
        <w:tc>
          <w:tcPr>
            <w:tcW w:w="1080" w:type="dxa"/>
          </w:tcPr>
          <w:p w14:paraId="7D097EC8" w14:textId="55FA910D" w:rsidR="004847AA" w:rsidRPr="00A92A24"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A92A24">
              <w:rPr>
                <w:rFonts w:asciiTheme="minorHAnsi" w:eastAsiaTheme="minorEastAsia" w:hAnsiTheme="minorHAnsi" w:cstheme="minorBidi"/>
                <w:szCs w:val="20"/>
                <w:lang w:val="sq-AL"/>
              </w:rPr>
              <w:t xml:space="preserve"> - BP PPI</w:t>
            </w:r>
          </w:p>
        </w:tc>
        <w:tc>
          <w:tcPr>
            <w:tcW w:w="4770" w:type="dxa"/>
          </w:tcPr>
          <w:p w14:paraId="0DC87700" w14:textId="0BA1EA28" w:rsidR="004847AA" w:rsidRPr="009A66BD" w:rsidRDefault="000D64F8" w:rsidP="004847AA">
            <w:pPr>
              <w:pStyle w:val="Default"/>
              <w:spacing w:line="216" w:lineRule="auto"/>
              <w:rPr>
                <w:rFonts w:asciiTheme="minorHAnsi" w:eastAsiaTheme="minorEastAsia" w:hAnsiTheme="minorHAnsi" w:cstheme="minorHAnsi"/>
                <w:i/>
                <w:sz w:val="20"/>
                <w:szCs w:val="20"/>
                <w:lang w:val="sq-AL"/>
              </w:rPr>
            </w:pPr>
            <w:r w:rsidRPr="00A92A24">
              <w:rPr>
                <w:rFonts w:asciiTheme="minorHAnsi" w:eastAsiaTheme="minorEastAsia" w:hAnsiTheme="minorHAnsi" w:cstheme="minorHAnsi"/>
                <w:i/>
                <w:color w:val="auto"/>
                <w:sz w:val="20"/>
                <w:szCs w:val="20"/>
                <w:lang w:val="sq-AL"/>
              </w:rPr>
              <w:t>Fushëveprimi i analizës është përshkruar në Shtojcë.</w:t>
            </w:r>
          </w:p>
        </w:tc>
      </w:tr>
      <w:bookmarkEnd w:id="9"/>
      <w:tr w:rsidR="004847AA" w:rsidRPr="009A66BD" w14:paraId="11D39E1A" w14:textId="77777777" w:rsidTr="00F50EF6">
        <w:trPr>
          <w:cnfStyle w:val="000000100000" w:firstRow="0" w:lastRow="0" w:firstColumn="0" w:lastColumn="0" w:oddVBand="0" w:evenVBand="0" w:oddHBand="1" w:evenHBand="0" w:firstRowFirstColumn="0" w:firstRowLastColumn="0" w:lastRowFirstColumn="0" w:lastRowLastColumn="0"/>
          <w:trHeight w:val="1015"/>
        </w:trPr>
        <w:tc>
          <w:tcPr>
            <w:tcW w:w="2425" w:type="dxa"/>
            <w:vMerge/>
          </w:tcPr>
          <w:p w14:paraId="700C87C5" w14:textId="77777777" w:rsidR="004847AA" w:rsidRPr="009A66BD" w:rsidRDefault="004847AA" w:rsidP="004847AA">
            <w:pPr>
              <w:spacing w:after="120" w:line="240" w:lineRule="auto"/>
              <w:ind w:firstLine="0"/>
              <w:jc w:val="left"/>
              <w:rPr>
                <w:rFonts w:asciiTheme="majorHAnsi" w:eastAsiaTheme="minorHAnsi" w:hAnsiTheme="majorHAnsi" w:cstheme="majorHAnsi"/>
                <w:szCs w:val="20"/>
                <w:lang w:val="sq-AL"/>
              </w:rPr>
            </w:pPr>
          </w:p>
        </w:tc>
        <w:tc>
          <w:tcPr>
            <w:tcW w:w="2520" w:type="dxa"/>
          </w:tcPr>
          <w:p w14:paraId="2BC180A9" w14:textId="5FDD831E" w:rsidR="004847AA" w:rsidRPr="009A66BD" w:rsidRDefault="004847AA"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3.1.2. </w:t>
            </w:r>
            <w:r w:rsidR="00CA3D6A" w:rsidRPr="009A66BD">
              <w:rPr>
                <w:rFonts w:asciiTheme="minorHAnsi" w:eastAsia="Calibri" w:hAnsiTheme="minorHAnsi" w:cstheme="minorHAnsi"/>
                <w:color w:val="000000" w:themeColor="text1"/>
                <w:kern w:val="24"/>
                <w:lang w:val="sq-AL"/>
              </w:rPr>
              <w:t xml:space="preserve">Të kryhet një analizë krahasuese e </w:t>
            </w:r>
            <w:r w:rsidR="00164247" w:rsidRPr="009A66BD">
              <w:rPr>
                <w:rFonts w:asciiTheme="minorHAnsi" w:eastAsia="Calibri" w:hAnsiTheme="minorHAnsi" w:cstheme="minorHAnsi"/>
                <w:color w:val="000000" w:themeColor="text1"/>
                <w:kern w:val="24"/>
                <w:lang w:val="sq-AL"/>
              </w:rPr>
              <w:t>MNI</w:t>
            </w:r>
            <w:r w:rsidR="00CA3D6A" w:rsidRPr="009A66BD">
              <w:rPr>
                <w:rFonts w:asciiTheme="minorHAnsi" w:eastAsia="Calibri" w:hAnsiTheme="minorHAnsi" w:cstheme="minorHAnsi"/>
                <w:color w:val="000000" w:themeColor="text1"/>
                <w:kern w:val="24"/>
                <w:lang w:val="sq-AL"/>
              </w:rPr>
              <w:t>-ve të Kosovës* me ato të ekonomive të tjera të BP6</w:t>
            </w:r>
            <w:r w:rsidRPr="009A66BD">
              <w:rPr>
                <w:rFonts w:asciiTheme="minorHAnsi" w:eastAsia="Calibri" w:hAnsiTheme="minorHAnsi" w:cstheme="minorHAnsi"/>
                <w:color w:val="000000" w:themeColor="text1"/>
                <w:kern w:val="24"/>
                <w:lang w:val="sq-AL"/>
              </w:rPr>
              <w:t>.</w:t>
            </w:r>
            <w:r w:rsidRPr="009A66BD">
              <w:rPr>
                <w:rFonts w:asciiTheme="minorHAnsi" w:eastAsiaTheme="minorEastAsia" w:hAnsiTheme="minorHAnsi" w:cstheme="minorHAnsi"/>
                <w:szCs w:val="20"/>
                <w:lang w:val="sq-AL"/>
              </w:rPr>
              <w:t xml:space="preserve"> </w:t>
            </w:r>
          </w:p>
        </w:tc>
        <w:tc>
          <w:tcPr>
            <w:tcW w:w="900" w:type="dxa"/>
            <w:tcBorders>
              <w:bottom w:val="single" w:sz="4" w:space="0" w:color="FFFFFF" w:themeColor="background1"/>
            </w:tcBorders>
          </w:tcPr>
          <w:p w14:paraId="3971A30B" w14:textId="5B736148" w:rsidR="004847AA" w:rsidRPr="009A66BD" w:rsidRDefault="0006464E"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Shtator</w:t>
            </w:r>
            <w:r w:rsidR="004847AA" w:rsidRPr="009A66BD">
              <w:rPr>
                <w:rFonts w:asciiTheme="minorHAnsi" w:eastAsiaTheme="minorEastAsia" w:hAnsiTheme="minorHAnsi" w:cstheme="minorHAnsi"/>
                <w:szCs w:val="20"/>
                <w:lang w:val="sq-AL"/>
              </w:rPr>
              <w:t xml:space="preserve"> 2019</w:t>
            </w:r>
          </w:p>
        </w:tc>
        <w:tc>
          <w:tcPr>
            <w:tcW w:w="1260" w:type="dxa"/>
            <w:tcBorders>
              <w:bottom w:val="single" w:sz="4" w:space="0" w:color="FFFFFF" w:themeColor="background1"/>
            </w:tcBorders>
          </w:tcPr>
          <w:p w14:paraId="00613F50" w14:textId="78570B27" w:rsidR="004847AA" w:rsidRPr="009A66BD" w:rsidRDefault="0063032B"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Tregtisë dhe Industrisë</w:t>
            </w:r>
            <w:r w:rsidR="004847AA" w:rsidRPr="009A66BD">
              <w:rPr>
                <w:rFonts w:asciiTheme="minorHAnsi" w:eastAsiaTheme="minorEastAsia" w:hAnsiTheme="minorHAnsi" w:cstheme="minorHAnsi"/>
                <w:szCs w:val="20"/>
                <w:lang w:val="sq-AL"/>
              </w:rPr>
              <w:t xml:space="preserve"> </w:t>
            </w:r>
          </w:p>
        </w:tc>
        <w:tc>
          <w:tcPr>
            <w:tcW w:w="1980" w:type="dxa"/>
            <w:tcBorders>
              <w:bottom w:val="single" w:sz="4" w:space="0" w:color="FFFFFF" w:themeColor="background1"/>
            </w:tcBorders>
          </w:tcPr>
          <w:p w14:paraId="5788BA0E" w14:textId="51F177C4" w:rsidR="004847AA" w:rsidRPr="009A66BD" w:rsidRDefault="00DD0671" w:rsidP="00B83E9E">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Një raport sintezë i bazuar në </w:t>
            </w:r>
            <w:r w:rsidR="00B83E9E">
              <w:rPr>
                <w:rFonts w:asciiTheme="minorHAnsi" w:eastAsiaTheme="minorEastAsia" w:hAnsiTheme="minorHAnsi" w:cstheme="minorHAnsi"/>
                <w:szCs w:val="20"/>
                <w:lang w:val="sq-AL"/>
              </w:rPr>
              <w:t xml:space="preserve">Veprimin </w:t>
            </w:r>
            <w:r w:rsidRPr="009A66BD">
              <w:rPr>
                <w:rFonts w:asciiTheme="minorHAnsi" w:eastAsiaTheme="minorEastAsia" w:hAnsiTheme="minorHAnsi" w:cstheme="minorHAnsi"/>
                <w:szCs w:val="20"/>
                <w:lang w:val="sq-AL"/>
              </w:rPr>
              <w:t xml:space="preserve">3.1.1 të PVRI, duke krahasuar </w:t>
            </w:r>
            <w:r w:rsidR="00164247" w:rsidRPr="009A66BD">
              <w:rPr>
                <w:rFonts w:asciiTheme="minorHAnsi" w:eastAsiaTheme="minorEastAsia" w:hAnsiTheme="minorHAnsi" w:cstheme="minorHAnsi"/>
                <w:szCs w:val="20"/>
                <w:lang w:val="sq-AL"/>
              </w:rPr>
              <w:t>MNI</w:t>
            </w:r>
            <w:r w:rsidR="00B83E9E">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 xml:space="preserve"> me MNI-t</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 xml:space="preserve"> e </w:t>
            </w:r>
            <w:r w:rsidRPr="009A66BD">
              <w:rPr>
                <w:rFonts w:asciiTheme="minorHAnsi" w:eastAsiaTheme="minorEastAsia" w:hAnsiTheme="minorHAnsi" w:cstheme="minorHAnsi"/>
                <w:szCs w:val="20"/>
                <w:lang w:val="sq-AL"/>
              </w:rPr>
              <w:t>ekonomi</w:t>
            </w:r>
            <w:r w:rsidR="00B83E9E">
              <w:rPr>
                <w:rFonts w:asciiTheme="minorHAnsi" w:eastAsiaTheme="minorEastAsia" w:hAnsiTheme="minorHAnsi" w:cstheme="minorHAnsi"/>
                <w:szCs w:val="20"/>
                <w:lang w:val="sq-AL"/>
              </w:rPr>
              <w:t xml:space="preserve">ve </w:t>
            </w:r>
            <w:r w:rsidR="00B83E9E">
              <w:rPr>
                <w:rFonts w:asciiTheme="minorHAnsi" w:eastAsiaTheme="minorEastAsia" w:hAnsiTheme="minorHAnsi" w:cstheme="minorHAnsi"/>
                <w:szCs w:val="20"/>
                <w:lang w:val="sq-AL"/>
              </w:rPr>
              <w:lastRenderedPageBreak/>
              <w:t>t</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 xml:space="preserve"> </w:t>
            </w:r>
            <w:r w:rsidRPr="009A66BD">
              <w:rPr>
                <w:rFonts w:asciiTheme="minorHAnsi" w:eastAsiaTheme="minorEastAsia" w:hAnsiTheme="minorHAnsi" w:cstheme="minorHAnsi"/>
                <w:szCs w:val="20"/>
                <w:lang w:val="sq-AL"/>
              </w:rPr>
              <w:t>tjera të BP6.</w:t>
            </w:r>
          </w:p>
        </w:tc>
        <w:tc>
          <w:tcPr>
            <w:tcW w:w="1080" w:type="dxa"/>
            <w:tcBorders>
              <w:bottom w:val="single" w:sz="4" w:space="0" w:color="FFFFFF" w:themeColor="background1"/>
            </w:tcBorders>
          </w:tcPr>
          <w:p w14:paraId="33569BDB" w14:textId="51BB4227" w:rsidR="004847AA" w:rsidRPr="009A66BD"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lastRenderedPageBreak/>
              <w:t>GBB</w:t>
            </w:r>
            <w:r w:rsidR="00792A30" w:rsidRPr="009A66BD">
              <w:rPr>
                <w:rFonts w:asciiTheme="minorHAnsi" w:eastAsiaTheme="minorEastAsia" w:hAnsiTheme="minorHAnsi" w:cstheme="minorBidi"/>
                <w:szCs w:val="20"/>
                <w:lang w:val="sq-AL"/>
              </w:rPr>
              <w:t xml:space="preserve"> - BP PPI</w:t>
            </w:r>
          </w:p>
        </w:tc>
        <w:tc>
          <w:tcPr>
            <w:tcW w:w="4770" w:type="dxa"/>
          </w:tcPr>
          <w:p w14:paraId="0B45DA47" w14:textId="2498CD9D" w:rsidR="004847AA" w:rsidRPr="009A66BD" w:rsidRDefault="004847AA" w:rsidP="004847AA">
            <w:pPr>
              <w:spacing w:after="120" w:line="240" w:lineRule="auto"/>
              <w:ind w:firstLine="0"/>
              <w:jc w:val="left"/>
              <w:rPr>
                <w:rFonts w:asciiTheme="minorHAnsi" w:eastAsiaTheme="minorEastAsia" w:hAnsiTheme="minorHAnsi" w:cstheme="minorHAnsi"/>
                <w:szCs w:val="20"/>
                <w:lang w:val="sq-AL"/>
              </w:rPr>
            </w:pPr>
          </w:p>
        </w:tc>
      </w:tr>
      <w:tr w:rsidR="004847AA" w:rsidRPr="00612497" w14:paraId="1E651FB0" w14:textId="77777777" w:rsidTr="00F50EF6">
        <w:trPr>
          <w:trHeight w:val="1015"/>
        </w:trPr>
        <w:tc>
          <w:tcPr>
            <w:tcW w:w="2425" w:type="dxa"/>
            <w:vMerge/>
          </w:tcPr>
          <w:p w14:paraId="7E6509C8" w14:textId="77777777" w:rsidR="004847AA" w:rsidRPr="009A66BD" w:rsidRDefault="004847AA" w:rsidP="004847AA">
            <w:pPr>
              <w:spacing w:after="120" w:line="240" w:lineRule="auto"/>
              <w:ind w:firstLine="0"/>
              <w:jc w:val="left"/>
              <w:rPr>
                <w:rFonts w:asciiTheme="majorHAnsi" w:eastAsiaTheme="minorHAnsi" w:hAnsiTheme="majorHAnsi" w:cstheme="majorHAnsi"/>
                <w:szCs w:val="20"/>
                <w:lang w:val="sq-AL"/>
              </w:rPr>
            </w:pPr>
          </w:p>
        </w:tc>
        <w:tc>
          <w:tcPr>
            <w:tcW w:w="2520" w:type="dxa"/>
          </w:tcPr>
          <w:p w14:paraId="053542A8" w14:textId="3D799C87" w:rsidR="004847AA" w:rsidRPr="009A66BD" w:rsidRDefault="004847AA" w:rsidP="006822F7">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3.1.3. </w:t>
            </w:r>
            <w:r w:rsidR="003E3C98" w:rsidRPr="009A66BD">
              <w:rPr>
                <w:rFonts w:asciiTheme="minorHAnsi" w:eastAsiaTheme="minorEastAsia" w:hAnsiTheme="minorHAnsi" w:cstheme="minorHAnsi"/>
                <w:szCs w:val="20"/>
                <w:lang w:val="sq-AL"/>
              </w:rPr>
              <w:t>Krahas</w:t>
            </w:r>
            <w:r w:rsidR="00B83E9E">
              <w:rPr>
                <w:rFonts w:asciiTheme="minorHAnsi" w:eastAsiaTheme="minorEastAsia" w:hAnsiTheme="minorHAnsi" w:cstheme="minorHAnsi"/>
                <w:szCs w:val="20"/>
                <w:lang w:val="sq-AL"/>
              </w:rPr>
              <w:t xml:space="preserve">imi i </w:t>
            </w:r>
            <w:r w:rsidR="003E3C98" w:rsidRPr="009A66BD">
              <w:rPr>
                <w:rFonts w:asciiTheme="minorHAnsi" w:eastAsiaTheme="minorEastAsia" w:hAnsiTheme="minorHAnsi" w:cstheme="minorHAnsi"/>
                <w:szCs w:val="20"/>
                <w:lang w:val="sq-AL"/>
              </w:rPr>
              <w:t>MNI-</w:t>
            </w:r>
            <w:r w:rsidR="00B83E9E">
              <w:rPr>
                <w:rFonts w:asciiTheme="minorHAnsi" w:eastAsiaTheme="minorEastAsia" w:hAnsiTheme="minorHAnsi" w:cstheme="minorHAnsi"/>
                <w:szCs w:val="20"/>
                <w:lang w:val="sq-AL"/>
              </w:rPr>
              <w:t>ve t</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 xml:space="preserve"> </w:t>
            </w:r>
            <w:r w:rsidR="003E3C98" w:rsidRPr="009A66BD">
              <w:rPr>
                <w:rFonts w:asciiTheme="minorHAnsi" w:eastAsiaTheme="minorEastAsia" w:hAnsiTheme="minorHAnsi" w:cstheme="minorHAnsi"/>
                <w:szCs w:val="20"/>
                <w:lang w:val="sq-AL"/>
              </w:rPr>
              <w:t xml:space="preserve">Kosovës* me </w:t>
            </w:r>
            <w:r w:rsidR="00B83E9E">
              <w:rPr>
                <w:rFonts w:asciiTheme="minorHAnsi" w:eastAsiaTheme="minorEastAsia" w:hAnsiTheme="minorHAnsi" w:cstheme="minorHAnsi"/>
                <w:szCs w:val="20"/>
                <w:lang w:val="sq-AL"/>
              </w:rPr>
              <w:t>MNI-t</w:t>
            </w:r>
            <w:r w:rsidR="006822F7">
              <w:rPr>
                <w:rFonts w:asciiTheme="minorHAnsi" w:eastAsiaTheme="minorEastAsia" w:hAnsiTheme="minorHAnsi" w:cstheme="minorHAnsi"/>
                <w:szCs w:val="20"/>
                <w:lang w:val="sq-AL"/>
              </w:rPr>
              <w:t>ë</w:t>
            </w:r>
            <w:r w:rsidR="00B83E9E">
              <w:rPr>
                <w:rFonts w:asciiTheme="minorHAnsi" w:eastAsiaTheme="minorEastAsia" w:hAnsiTheme="minorHAnsi" w:cstheme="minorHAnsi"/>
                <w:szCs w:val="20"/>
                <w:lang w:val="sq-AL"/>
              </w:rPr>
              <w:t xml:space="preserve"> e </w:t>
            </w:r>
            <w:r w:rsidR="003E3C98" w:rsidRPr="009A66BD">
              <w:rPr>
                <w:rFonts w:asciiTheme="minorHAnsi" w:eastAsiaTheme="minorEastAsia" w:hAnsiTheme="minorHAnsi" w:cstheme="minorHAnsi"/>
                <w:szCs w:val="20"/>
                <w:lang w:val="sq-AL"/>
              </w:rPr>
              <w:t xml:space="preserve"> gjeneratës së re dhe standardet e BE-së (CETA, UNCTAD IPFSD) për të identifikuar </w:t>
            </w:r>
            <w:r w:rsidR="006822F7">
              <w:rPr>
                <w:rFonts w:asciiTheme="minorHAnsi" w:eastAsiaTheme="minorEastAsia" w:hAnsiTheme="minorHAnsi" w:cstheme="minorHAnsi"/>
                <w:szCs w:val="20"/>
                <w:lang w:val="sq-AL"/>
              </w:rPr>
              <w:t xml:space="preserve">hendeqet </w:t>
            </w:r>
            <w:r w:rsidR="003E3C98" w:rsidRPr="009A66BD">
              <w:rPr>
                <w:rFonts w:asciiTheme="minorHAnsi" w:eastAsiaTheme="minorEastAsia" w:hAnsiTheme="minorHAnsi" w:cstheme="minorHAnsi"/>
                <w:szCs w:val="20"/>
                <w:lang w:val="sq-AL"/>
              </w:rPr>
              <w:t xml:space="preserve"> dhe për të zhvilluar rekomandime për të </w:t>
            </w:r>
            <w:r w:rsidR="00D93063">
              <w:rPr>
                <w:rFonts w:asciiTheme="minorHAnsi" w:eastAsiaTheme="minorEastAsia" w:hAnsiTheme="minorHAnsi" w:cstheme="minorHAnsi"/>
                <w:szCs w:val="20"/>
                <w:lang w:val="sq-AL"/>
              </w:rPr>
              <w:t>a</w:t>
            </w:r>
            <w:r w:rsidR="003E3C98" w:rsidRPr="009A66BD">
              <w:rPr>
                <w:rFonts w:asciiTheme="minorHAnsi" w:eastAsiaTheme="minorEastAsia" w:hAnsiTheme="minorHAnsi" w:cstheme="minorHAnsi"/>
                <w:szCs w:val="20"/>
                <w:lang w:val="sq-AL"/>
              </w:rPr>
              <w:t>rritur për</w:t>
            </w:r>
            <w:r w:rsidR="00A10465">
              <w:rPr>
                <w:rFonts w:asciiTheme="minorHAnsi" w:eastAsiaTheme="minorEastAsia" w:hAnsiTheme="minorHAnsi" w:cstheme="minorHAnsi"/>
                <w:szCs w:val="20"/>
                <w:lang w:val="sq-AL"/>
              </w:rPr>
              <w:t xml:space="preserve">afrimin </w:t>
            </w:r>
            <w:r w:rsidR="003E3C98" w:rsidRPr="009A66BD">
              <w:rPr>
                <w:rFonts w:asciiTheme="minorHAnsi" w:eastAsiaTheme="minorEastAsia" w:hAnsiTheme="minorHAnsi" w:cstheme="minorHAnsi"/>
                <w:szCs w:val="20"/>
                <w:lang w:val="sq-AL"/>
              </w:rPr>
              <w:t>me standard</w:t>
            </w:r>
            <w:r w:rsidR="00D93063">
              <w:rPr>
                <w:rFonts w:asciiTheme="minorHAnsi" w:eastAsiaTheme="minorEastAsia" w:hAnsiTheme="minorHAnsi" w:cstheme="minorHAnsi"/>
                <w:szCs w:val="20"/>
                <w:lang w:val="sq-AL"/>
              </w:rPr>
              <w:t>et e orientuara drejt reformës s</w:t>
            </w:r>
            <w:r w:rsidR="003E3C98" w:rsidRPr="009A66BD">
              <w:rPr>
                <w:rFonts w:asciiTheme="minorHAnsi" w:eastAsiaTheme="minorEastAsia" w:hAnsiTheme="minorHAnsi" w:cstheme="minorHAnsi"/>
                <w:szCs w:val="20"/>
                <w:lang w:val="sq-AL"/>
              </w:rPr>
              <w:t>ë MNI</w:t>
            </w:r>
            <w:r w:rsidR="00A10465">
              <w:rPr>
                <w:rFonts w:asciiTheme="minorHAnsi" w:eastAsiaTheme="minorEastAsia" w:hAnsiTheme="minorHAnsi" w:cstheme="minorHAnsi"/>
                <w:szCs w:val="20"/>
                <w:lang w:val="sq-AL"/>
              </w:rPr>
              <w:t>-ve t</w:t>
            </w:r>
            <w:r w:rsidR="006822F7">
              <w:rPr>
                <w:rFonts w:asciiTheme="minorHAnsi" w:eastAsiaTheme="minorEastAsia" w:hAnsiTheme="minorHAnsi" w:cstheme="minorHAnsi"/>
                <w:szCs w:val="20"/>
                <w:lang w:val="sq-AL"/>
              </w:rPr>
              <w:t>ë</w:t>
            </w:r>
            <w:r w:rsidR="00A10465">
              <w:rPr>
                <w:rFonts w:asciiTheme="minorHAnsi" w:eastAsiaTheme="minorEastAsia" w:hAnsiTheme="minorHAnsi" w:cstheme="minorHAnsi"/>
                <w:szCs w:val="20"/>
                <w:lang w:val="sq-AL"/>
              </w:rPr>
              <w:t xml:space="preserve"> gjenerat</w:t>
            </w:r>
            <w:r w:rsidR="006822F7">
              <w:rPr>
                <w:rFonts w:asciiTheme="minorHAnsi" w:eastAsiaTheme="minorEastAsia" w:hAnsiTheme="minorHAnsi" w:cstheme="minorHAnsi"/>
                <w:szCs w:val="20"/>
                <w:lang w:val="sq-AL"/>
              </w:rPr>
              <w:t>ë</w:t>
            </w:r>
            <w:r w:rsidR="00A10465">
              <w:rPr>
                <w:rFonts w:asciiTheme="minorHAnsi" w:eastAsiaTheme="minorEastAsia" w:hAnsiTheme="minorHAnsi" w:cstheme="minorHAnsi"/>
                <w:szCs w:val="20"/>
                <w:lang w:val="sq-AL"/>
              </w:rPr>
              <w:t>s s</w:t>
            </w:r>
            <w:r w:rsidR="006822F7">
              <w:rPr>
                <w:rFonts w:asciiTheme="minorHAnsi" w:eastAsiaTheme="minorEastAsia" w:hAnsiTheme="minorHAnsi" w:cstheme="minorHAnsi"/>
                <w:szCs w:val="20"/>
                <w:lang w:val="sq-AL"/>
              </w:rPr>
              <w:t>ë</w:t>
            </w:r>
            <w:r w:rsidR="00A10465">
              <w:rPr>
                <w:rFonts w:asciiTheme="minorHAnsi" w:eastAsiaTheme="minorEastAsia" w:hAnsiTheme="minorHAnsi" w:cstheme="minorHAnsi"/>
                <w:szCs w:val="20"/>
                <w:lang w:val="sq-AL"/>
              </w:rPr>
              <w:t xml:space="preserve"> re</w:t>
            </w:r>
            <w:r w:rsidR="003E3C98" w:rsidRPr="009A66BD">
              <w:rPr>
                <w:rFonts w:asciiTheme="minorHAnsi" w:eastAsiaTheme="minorEastAsia" w:hAnsiTheme="minorHAnsi" w:cstheme="minorHAnsi"/>
                <w:szCs w:val="20"/>
                <w:lang w:val="sq-AL"/>
              </w:rPr>
              <w:t xml:space="preserve"> / </w:t>
            </w:r>
            <w:r w:rsidR="00A10465">
              <w:rPr>
                <w:rFonts w:asciiTheme="minorHAnsi" w:eastAsiaTheme="minorEastAsia" w:hAnsiTheme="minorHAnsi" w:cstheme="minorHAnsi"/>
                <w:szCs w:val="20"/>
                <w:lang w:val="sq-AL"/>
              </w:rPr>
              <w:t xml:space="preserve">standardet e </w:t>
            </w:r>
            <w:r w:rsidR="003E3C98" w:rsidRPr="009A66BD">
              <w:rPr>
                <w:rFonts w:asciiTheme="minorHAnsi" w:eastAsiaTheme="minorEastAsia" w:hAnsiTheme="minorHAnsi" w:cstheme="minorHAnsi"/>
                <w:szCs w:val="20"/>
                <w:lang w:val="sq-AL"/>
              </w:rPr>
              <w:t>BE</w:t>
            </w:r>
            <w:r w:rsidR="00A10465">
              <w:rPr>
                <w:rFonts w:asciiTheme="minorHAnsi" w:eastAsiaTheme="minorEastAsia" w:hAnsiTheme="minorHAnsi" w:cstheme="minorHAnsi"/>
                <w:szCs w:val="20"/>
                <w:lang w:val="sq-AL"/>
              </w:rPr>
              <w:t>-s</w:t>
            </w:r>
            <w:r w:rsidR="006822F7">
              <w:rPr>
                <w:rFonts w:asciiTheme="minorHAnsi" w:eastAsiaTheme="minorEastAsia" w:hAnsiTheme="minorHAnsi" w:cstheme="minorHAnsi"/>
                <w:szCs w:val="20"/>
                <w:lang w:val="sq-AL"/>
              </w:rPr>
              <w:t>ë</w:t>
            </w:r>
            <w:r w:rsidR="00A95126" w:rsidRPr="009A66BD">
              <w:rPr>
                <w:rFonts w:asciiTheme="minorHAnsi" w:eastAsia="Calibri" w:hAnsiTheme="minorHAnsi" w:cstheme="minorHAnsi"/>
                <w:color w:val="000000" w:themeColor="text1"/>
                <w:kern w:val="24"/>
                <w:lang w:val="sq-AL"/>
              </w:rPr>
              <w:t>.</w:t>
            </w:r>
          </w:p>
        </w:tc>
        <w:tc>
          <w:tcPr>
            <w:tcW w:w="900" w:type="dxa"/>
            <w:tcBorders>
              <w:bottom w:val="single" w:sz="4" w:space="0" w:color="FFFFFF" w:themeColor="background1"/>
            </w:tcBorders>
          </w:tcPr>
          <w:p w14:paraId="674AEA64" w14:textId="4877E250" w:rsidR="004847AA" w:rsidRPr="009A66BD" w:rsidRDefault="0006464E"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Shtator</w:t>
            </w:r>
            <w:r w:rsidR="004847AA" w:rsidRPr="009A66BD">
              <w:rPr>
                <w:rFonts w:asciiTheme="minorHAnsi" w:eastAsiaTheme="minorEastAsia" w:hAnsiTheme="minorHAnsi" w:cstheme="minorHAnsi"/>
                <w:szCs w:val="20"/>
                <w:lang w:val="sq-AL"/>
              </w:rPr>
              <w:t xml:space="preserve"> 2019</w:t>
            </w:r>
          </w:p>
        </w:tc>
        <w:tc>
          <w:tcPr>
            <w:tcW w:w="1260" w:type="dxa"/>
            <w:tcBorders>
              <w:bottom w:val="single" w:sz="4" w:space="0" w:color="FFFFFF" w:themeColor="background1"/>
            </w:tcBorders>
          </w:tcPr>
          <w:p w14:paraId="77EFCD25" w14:textId="2EF371D2" w:rsidR="004847AA" w:rsidRPr="009A66BD" w:rsidRDefault="0063032B"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Tregtisë dhe Industrisë</w:t>
            </w:r>
          </w:p>
        </w:tc>
        <w:tc>
          <w:tcPr>
            <w:tcW w:w="1980" w:type="dxa"/>
            <w:tcBorders>
              <w:bottom w:val="single" w:sz="4" w:space="0" w:color="FFFFFF" w:themeColor="background1"/>
            </w:tcBorders>
          </w:tcPr>
          <w:p w14:paraId="7DBA70CA" w14:textId="77777777" w:rsidR="003460AF" w:rsidRPr="009A66BD" w:rsidRDefault="003460AF"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Raporti i bazuar në rezultate nga Veprimi 3.1.1 i PVRI-së</w:t>
            </w:r>
          </w:p>
          <w:p w14:paraId="400EE37B" w14:textId="41F79A5E" w:rsidR="004847AA" w:rsidRPr="009A66BD" w:rsidRDefault="006A0915" w:rsidP="00A10465">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Një shënim i shkurtër mbi efektin e </w:t>
            </w:r>
            <w:r w:rsidR="00A10465">
              <w:rPr>
                <w:rFonts w:asciiTheme="minorHAnsi" w:eastAsiaTheme="minorEastAsia" w:hAnsiTheme="minorHAnsi" w:cstheme="minorHAnsi"/>
                <w:szCs w:val="20"/>
                <w:lang w:val="sq-AL"/>
              </w:rPr>
              <w:t>an</w:t>
            </w:r>
            <w:r w:rsidR="006822F7">
              <w:rPr>
                <w:rFonts w:asciiTheme="minorHAnsi" w:eastAsiaTheme="minorEastAsia" w:hAnsiTheme="minorHAnsi" w:cstheme="minorHAnsi"/>
                <w:szCs w:val="20"/>
                <w:lang w:val="sq-AL"/>
              </w:rPr>
              <w:t>ë</w:t>
            </w:r>
            <w:r w:rsidR="00A10465">
              <w:rPr>
                <w:rFonts w:asciiTheme="minorHAnsi" w:eastAsiaTheme="minorEastAsia" w:hAnsiTheme="minorHAnsi" w:cstheme="minorHAnsi"/>
                <w:szCs w:val="20"/>
                <w:lang w:val="sq-AL"/>
              </w:rPr>
              <w:t>tar</w:t>
            </w:r>
            <w:r w:rsidR="006822F7">
              <w:rPr>
                <w:rFonts w:asciiTheme="minorHAnsi" w:eastAsiaTheme="minorEastAsia" w:hAnsiTheme="minorHAnsi" w:cstheme="minorHAnsi"/>
                <w:szCs w:val="20"/>
                <w:lang w:val="sq-AL"/>
              </w:rPr>
              <w:t>ë</w:t>
            </w:r>
            <w:r w:rsidR="00A10465">
              <w:rPr>
                <w:rFonts w:asciiTheme="minorHAnsi" w:eastAsiaTheme="minorEastAsia" w:hAnsiTheme="minorHAnsi" w:cstheme="minorHAnsi"/>
                <w:szCs w:val="20"/>
                <w:lang w:val="sq-AL"/>
              </w:rPr>
              <w:t xml:space="preserve">simit </w:t>
            </w:r>
            <w:r w:rsidRPr="009A66BD">
              <w:rPr>
                <w:rFonts w:asciiTheme="minorHAnsi" w:eastAsiaTheme="minorEastAsia" w:hAnsiTheme="minorHAnsi" w:cstheme="minorHAnsi"/>
                <w:szCs w:val="20"/>
                <w:lang w:val="sq-AL"/>
              </w:rPr>
              <w:t>në BE në MNI-të ekzistuese.</w:t>
            </w:r>
          </w:p>
        </w:tc>
        <w:tc>
          <w:tcPr>
            <w:tcW w:w="1080" w:type="dxa"/>
            <w:tcBorders>
              <w:bottom w:val="single" w:sz="4" w:space="0" w:color="FFFFFF" w:themeColor="background1"/>
            </w:tcBorders>
          </w:tcPr>
          <w:p w14:paraId="1639C7C5" w14:textId="631B4258" w:rsidR="004847AA" w:rsidRPr="009A66BD"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9A66BD">
              <w:rPr>
                <w:rFonts w:asciiTheme="minorHAnsi" w:eastAsiaTheme="minorEastAsia" w:hAnsiTheme="minorHAnsi" w:cstheme="minorBidi"/>
                <w:szCs w:val="20"/>
                <w:lang w:val="sq-AL"/>
              </w:rPr>
              <w:t xml:space="preserve"> - BP PPI</w:t>
            </w:r>
          </w:p>
        </w:tc>
        <w:tc>
          <w:tcPr>
            <w:tcW w:w="4770" w:type="dxa"/>
            <w:tcBorders>
              <w:bottom w:val="single" w:sz="4" w:space="0" w:color="FFFFFF" w:themeColor="background1"/>
            </w:tcBorders>
          </w:tcPr>
          <w:p w14:paraId="2E859102" w14:textId="439134A0" w:rsidR="004847AA" w:rsidRPr="009A66BD" w:rsidRDefault="00A10465" w:rsidP="004847AA">
            <w:pPr>
              <w:spacing w:after="160" w:line="240" w:lineRule="auto"/>
              <w:ind w:firstLine="0"/>
              <w:rPr>
                <w:rFonts w:asciiTheme="minorHAnsi" w:eastAsia="SimSun" w:hAnsiTheme="minorHAnsi" w:cstheme="minorHAnsi"/>
                <w:i/>
                <w:szCs w:val="20"/>
                <w:lang w:val="sq-AL" w:eastAsia="zh-CN"/>
              </w:rPr>
            </w:pPr>
            <w:r>
              <w:rPr>
                <w:rFonts w:asciiTheme="minorHAnsi" w:eastAsia="SimSun" w:hAnsiTheme="minorHAnsi" w:cstheme="minorHAnsi"/>
                <w:i/>
                <w:szCs w:val="20"/>
                <w:lang w:val="sq-AL" w:eastAsia="zh-CN"/>
              </w:rPr>
              <w:t xml:space="preserve">Krahasimi </w:t>
            </w:r>
            <w:r w:rsidR="00B402F5" w:rsidRPr="009A66BD">
              <w:rPr>
                <w:rFonts w:asciiTheme="minorHAnsi" w:eastAsia="SimSun" w:hAnsiTheme="minorHAnsi" w:cstheme="minorHAnsi"/>
                <w:i/>
                <w:szCs w:val="20"/>
                <w:lang w:val="sq-AL" w:eastAsia="zh-CN"/>
              </w:rPr>
              <w:t>i MNI-</w:t>
            </w:r>
            <w:r>
              <w:rPr>
                <w:rFonts w:asciiTheme="minorHAnsi" w:eastAsia="SimSun" w:hAnsiTheme="minorHAnsi" w:cstheme="minorHAnsi"/>
                <w:i/>
                <w:szCs w:val="20"/>
                <w:lang w:val="sq-AL" w:eastAsia="zh-CN"/>
              </w:rPr>
              <w:t xml:space="preserve">ve </w:t>
            </w:r>
            <w:r w:rsidR="00B402F5" w:rsidRPr="009A66BD">
              <w:rPr>
                <w:rFonts w:asciiTheme="minorHAnsi" w:eastAsia="SimSun" w:hAnsiTheme="minorHAnsi" w:cstheme="minorHAnsi"/>
                <w:i/>
                <w:szCs w:val="20"/>
                <w:lang w:val="sq-AL" w:eastAsia="zh-CN"/>
              </w:rPr>
              <w:t xml:space="preserve">me MNI-të e gjeneratës së re dhe standardet e BE-së do të përafrohet ngushtë me </w:t>
            </w:r>
            <w:r>
              <w:rPr>
                <w:rFonts w:asciiTheme="minorHAnsi" w:eastAsia="SimSun" w:hAnsiTheme="minorHAnsi" w:cstheme="minorHAnsi"/>
                <w:i/>
                <w:szCs w:val="20"/>
                <w:lang w:val="sq-AL" w:eastAsia="zh-CN"/>
              </w:rPr>
              <w:t>Korniz</w:t>
            </w:r>
            <w:r w:rsidR="006822F7">
              <w:rPr>
                <w:rFonts w:asciiTheme="minorHAnsi" w:eastAsia="SimSun" w:hAnsiTheme="minorHAnsi" w:cstheme="minorHAnsi"/>
                <w:i/>
                <w:szCs w:val="20"/>
                <w:lang w:val="sq-AL" w:eastAsia="zh-CN"/>
              </w:rPr>
              <w:t>ë</w:t>
            </w:r>
            <w:r>
              <w:rPr>
                <w:rFonts w:asciiTheme="minorHAnsi" w:eastAsia="SimSun" w:hAnsiTheme="minorHAnsi" w:cstheme="minorHAnsi"/>
                <w:i/>
                <w:szCs w:val="20"/>
                <w:lang w:val="sq-AL" w:eastAsia="zh-CN"/>
              </w:rPr>
              <w:t>n e Politik</w:t>
            </w:r>
            <w:r w:rsidR="006822F7">
              <w:rPr>
                <w:rFonts w:asciiTheme="minorHAnsi" w:eastAsia="SimSun" w:hAnsiTheme="minorHAnsi" w:cstheme="minorHAnsi"/>
                <w:i/>
                <w:szCs w:val="20"/>
                <w:lang w:val="sq-AL" w:eastAsia="zh-CN"/>
              </w:rPr>
              <w:t>ë</w:t>
            </w:r>
            <w:r>
              <w:rPr>
                <w:rFonts w:asciiTheme="minorHAnsi" w:eastAsia="SimSun" w:hAnsiTheme="minorHAnsi" w:cstheme="minorHAnsi"/>
                <w:i/>
                <w:szCs w:val="20"/>
                <w:lang w:val="sq-AL" w:eastAsia="zh-CN"/>
              </w:rPr>
              <w:t>s s</w:t>
            </w:r>
            <w:r w:rsidR="006822F7">
              <w:rPr>
                <w:rFonts w:asciiTheme="minorHAnsi" w:eastAsia="SimSun" w:hAnsiTheme="minorHAnsi" w:cstheme="minorHAnsi"/>
                <w:i/>
                <w:szCs w:val="20"/>
                <w:lang w:val="sq-AL" w:eastAsia="zh-CN"/>
              </w:rPr>
              <w:t>ë</w:t>
            </w:r>
            <w:r>
              <w:rPr>
                <w:rFonts w:asciiTheme="minorHAnsi" w:eastAsia="SimSun" w:hAnsiTheme="minorHAnsi" w:cstheme="minorHAnsi"/>
                <w:i/>
                <w:szCs w:val="20"/>
                <w:lang w:val="sq-AL" w:eastAsia="zh-CN"/>
              </w:rPr>
              <w:t xml:space="preserve"> </w:t>
            </w:r>
            <w:r w:rsidR="00B402F5" w:rsidRPr="009A66BD">
              <w:rPr>
                <w:rFonts w:asciiTheme="minorHAnsi" w:eastAsia="SimSun" w:hAnsiTheme="minorHAnsi" w:cstheme="minorHAnsi"/>
                <w:i/>
                <w:szCs w:val="20"/>
                <w:lang w:val="sq-AL" w:eastAsia="zh-CN"/>
              </w:rPr>
              <w:t xml:space="preserve">Investimeve </w:t>
            </w:r>
            <w:r>
              <w:rPr>
                <w:rFonts w:asciiTheme="minorHAnsi" w:eastAsia="SimSun" w:hAnsiTheme="minorHAnsi" w:cstheme="minorHAnsi"/>
                <w:i/>
                <w:szCs w:val="20"/>
                <w:lang w:val="sq-AL" w:eastAsia="zh-CN"/>
              </w:rPr>
              <w:t>t</w:t>
            </w:r>
            <w:r w:rsidR="006822F7">
              <w:rPr>
                <w:rFonts w:asciiTheme="minorHAnsi" w:eastAsia="SimSun" w:hAnsiTheme="minorHAnsi" w:cstheme="minorHAnsi"/>
                <w:i/>
                <w:szCs w:val="20"/>
                <w:lang w:val="sq-AL" w:eastAsia="zh-CN"/>
              </w:rPr>
              <w:t>ë</w:t>
            </w:r>
            <w:r>
              <w:rPr>
                <w:rFonts w:asciiTheme="minorHAnsi" w:eastAsia="SimSun" w:hAnsiTheme="minorHAnsi" w:cstheme="minorHAnsi"/>
                <w:i/>
                <w:szCs w:val="20"/>
                <w:lang w:val="sq-AL" w:eastAsia="zh-CN"/>
              </w:rPr>
              <w:t xml:space="preserve"> </w:t>
            </w:r>
            <w:r w:rsidR="00B402F5" w:rsidRPr="009A66BD">
              <w:rPr>
                <w:rFonts w:asciiTheme="minorHAnsi" w:eastAsia="SimSun" w:hAnsiTheme="minorHAnsi" w:cstheme="minorHAnsi"/>
                <w:i/>
                <w:szCs w:val="20"/>
                <w:lang w:val="sq-AL" w:eastAsia="zh-CN"/>
              </w:rPr>
              <w:t>UNCTAD për Zhvillim të Qëndrueshëm (IPFSD</w:t>
            </w:r>
            <w:r w:rsidR="004847AA" w:rsidRPr="009A66BD">
              <w:rPr>
                <w:rFonts w:asciiTheme="minorHAnsi" w:eastAsia="SimSun" w:hAnsiTheme="minorHAnsi" w:cstheme="minorHAnsi"/>
                <w:i/>
                <w:szCs w:val="20"/>
                <w:lang w:val="sq-AL" w:eastAsia="zh-CN"/>
              </w:rPr>
              <w:t xml:space="preserve">). </w:t>
            </w:r>
          </w:p>
          <w:p w14:paraId="712B1F85" w14:textId="19CD6F26" w:rsidR="004847AA" w:rsidRPr="009A66BD" w:rsidRDefault="00CF3263" w:rsidP="00932698">
            <w:pPr>
              <w:spacing w:after="160" w:line="259" w:lineRule="auto"/>
              <w:ind w:firstLine="0"/>
              <w:rPr>
                <w:rFonts w:asciiTheme="minorHAnsi" w:eastAsiaTheme="minorEastAsia" w:hAnsiTheme="minorHAnsi" w:cstheme="minorHAnsi"/>
                <w:szCs w:val="20"/>
                <w:lang w:val="sq-AL"/>
              </w:rPr>
            </w:pPr>
            <w:r w:rsidRPr="009A66BD">
              <w:rPr>
                <w:rFonts w:asciiTheme="minorHAnsi" w:eastAsia="SimSun" w:hAnsiTheme="minorHAnsi" w:cstheme="minorHAnsi"/>
                <w:i/>
                <w:szCs w:val="20"/>
                <w:lang w:val="sq-AL" w:eastAsia="zh-CN"/>
              </w:rPr>
              <w:t xml:space="preserve">Shembull i </w:t>
            </w:r>
            <w:r w:rsidR="00A10465">
              <w:rPr>
                <w:rFonts w:asciiTheme="minorHAnsi" w:eastAsia="SimSun" w:hAnsiTheme="minorHAnsi" w:cstheme="minorHAnsi"/>
                <w:i/>
                <w:szCs w:val="20"/>
                <w:lang w:val="sq-AL" w:eastAsia="zh-CN"/>
              </w:rPr>
              <w:t>nj</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 xml:space="preserve"> </w:t>
            </w:r>
            <w:r w:rsidRPr="009A66BD">
              <w:rPr>
                <w:rFonts w:asciiTheme="minorHAnsi" w:eastAsia="SimSun" w:hAnsiTheme="minorHAnsi" w:cstheme="minorHAnsi"/>
                <w:i/>
                <w:szCs w:val="20"/>
                <w:lang w:val="sq-AL" w:eastAsia="zh-CN"/>
              </w:rPr>
              <w:t>MNI-</w:t>
            </w:r>
            <w:r w:rsidR="00A10465">
              <w:rPr>
                <w:rFonts w:asciiTheme="minorHAnsi" w:eastAsia="SimSun" w:hAnsiTheme="minorHAnsi" w:cstheme="minorHAnsi"/>
                <w:i/>
                <w:szCs w:val="20"/>
                <w:lang w:val="sq-AL" w:eastAsia="zh-CN"/>
              </w:rPr>
              <w:t>je t</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 xml:space="preserve"> gjenerat</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s s</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 xml:space="preserve"> re </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sht</w:t>
            </w:r>
            <w:r w:rsidR="006822F7">
              <w:rPr>
                <w:rFonts w:asciiTheme="minorHAnsi" w:eastAsia="SimSun" w:hAnsiTheme="minorHAnsi" w:cstheme="minorHAnsi"/>
                <w:i/>
                <w:szCs w:val="20"/>
                <w:lang w:val="sq-AL" w:eastAsia="zh-CN"/>
              </w:rPr>
              <w:t>ë</w:t>
            </w:r>
            <w:r w:rsidRPr="009A66BD">
              <w:rPr>
                <w:rFonts w:asciiTheme="minorHAnsi" w:eastAsia="SimSun" w:hAnsiTheme="minorHAnsi" w:cstheme="minorHAnsi"/>
                <w:i/>
                <w:szCs w:val="20"/>
                <w:lang w:val="sq-AL" w:eastAsia="zh-CN"/>
              </w:rPr>
              <w:t xml:space="preserve"> </w:t>
            </w:r>
            <w:r w:rsidR="00A10465">
              <w:rPr>
                <w:rFonts w:asciiTheme="minorHAnsi" w:eastAsia="SimSun" w:hAnsiTheme="minorHAnsi" w:cstheme="minorHAnsi"/>
                <w:i/>
                <w:szCs w:val="20"/>
                <w:lang w:val="sq-AL" w:eastAsia="zh-CN"/>
              </w:rPr>
              <w:t>pjesa m</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 xml:space="preserve"> e madhe e </w:t>
            </w:r>
            <w:r w:rsidRPr="009A66BD">
              <w:rPr>
                <w:rFonts w:asciiTheme="minorHAnsi" w:eastAsia="SimSun" w:hAnsiTheme="minorHAnsi" w:cstheme="minorHAnsi"/>
                <w:i/>
                <w:szCs w:val="20"/>
                <w:lang w:val="sq-AL" w:eastAsia="zh-CN"/>
              </w:rPr>
              <w:t xml:space="preserve">Kapitullit të </w:t>
            </w:r>
            <w:r w:rsidR="00A10465">
              <w:rPr>
                <w:rFonts w:asciiTheme="minorHAnsi" w:eastAsia="SimSun" w:hAnsiTheme="minorHAnsi" w:cstheme="minorHAnsi"/>
                <w:i/>
                <w:szCs w:val="20"/>
                <w:lang w:val="sq-AL" w:eastAsia="zh-CN"/>
              </w:rPr>
              <w:t>Investimeve t</w:t>
            </w:r>
            <w:r w:rsidR="006822F7">
              <w:rPr>
                <w:rFonts w:asciiTheme="minorHAnsi" w:eastAsia="SimSun" w:hAnsiTheme="minorHAnsi" w:cstheme="minorHAnsi"/>
                <w:i/>
                <w:szCs w:val="20"/>
                <w:lang w:val="sq-AL" w:eastAsia="zh-CN"/>
              </w:rPr>
              <w:t>ë</w:t>
            </w:r>
            <w:r w:rsidR="00A10465">
              <w:rPr>
                <w:rFonts w:asciiTheme="minorHAnsi" w:eastAsia="SimSun" w:hAnsiTheme="minorHAnsi" w:cstheme="minorHAnsi"/>
                <w:i/>
                <w:szCs w:val="20"/>
                <w:lang w:val="sq-AL" w:eastAsia="zh-CN"/>
              </w:rPr>
              <w:t xml:space="preserve"> </w:t>
            </w:r>
            <w:r w:rsidRPr="009A66BD">
              <w:rPr>
                <w:rFonts w:asciiTheme="minorHAnsi" w:eastAsia="SimSun" w:hAnsiTheme="minorHAnsi" w:cstheme="minorHAnsi"/>
                <w:i/>
                <w:szCs w:val="20"/>
                <w:lang w:val="sq-AL" w:eastAsia="zh-CN"/>
              </w:rPr>
              <w:t xml:space="preserve">Marrëveshjes Gjithëpërfshirëse Ekonomike dhe Tregtare midis Bashkimit Evropian dhe Kanadasë (CETA), </w:t>
            </w:r>
            <w:r w:rsidR="00932698">
              <w:rPr>
                <w:rFonts w:asciiTheme="minorHAnsi" w:eastAsia="SimSun" w:hAnsiTheme="minorHAnsi" w:cstheme="minorHAnsi"/>
                <w:i/>
                <w:szCs w:val="20"/>
                <w:lang w:val="sq-AL" w:eastAsia="zh-CN"/>
              </w:rPr>
              <w:t>q</w:t>
            </w:r>
            <w:r w:rsidR="006822F7">
              <w:rPr>
                <w:rFonts w:asciiTheme="minorHAnsi" w:eastAsia="SimSun" w:hAnsiTheme="minorHAnsi" w:cstheme="minorHAnsi"/>
                <w:i/>
                <w:szCs w:val="20"/>
                <w:lang w:val="sq-AL" w:eastAsia="zh-CN"/>
              </w:rPr>
              <w:t>ë</w:t>
            </w:r>
            <w:r w:rsidRPr="009A66BD">
              <w:rPr>
                <w:rFonts w:asciiTheme="minorHAnsi" w:eastAsia="SimSun" w:hAnsiTheme="minorHAnsi" w:cstheme="minorHAnsi"/>
                <w:i/>
                <w:szCs w:val="20"/>
                <w:lang w:val="sq-AL" w:eastAsia="zh-CN"/>
              </w:rPr>
              <w:t xml:space="preserve"> gjithashtu shërben si një përfaqësim i standardeve aktuale të BE-së (por duke përjashtuar mekanizmin e zgjidhjes së mosmarrëveshjeve të CETA-së</w:t>
            </w:r>
            <w:r w:rsidR="004847AA" w:rsidRPr="009A66BD">
              <w:rPr>
                <w:rFonts w:asciiTheme="minorHAnsi" w:eastAsia="SimSun" w:hAnsiTheme="minorHAnsi" w:cstheme="minorHAnsi"/>
                <w:i/>
                <w:szCs w:val="20"/>
                <w:lang w:val="sq-AL" w:eastAsia="zh-CN"/>
              </w:rPr>
              <w:t>).</w:t>
            </w:r>
          </w:p>
        </w:tc>
      </w:tr>
      <w:tr w:rsidR="004847AA" w:rsidRPr="00612497" w14:paraId="7BAF9477" w14:textId="77777777" w:rsidTr="00F50EF6">
        <w:trPr>
          <w:cnfStyle w:val="000000100000" w:firstRow="0" w:lastRow="0" w:firstColumn="0" w:lastColumn="0" w:oddVBand="0" w:evenVBand="0" w:oddHBand="1" w:evenHBand="0" w:firstRowFirstColumn="0" w:firstRowLastColumn="0" w:lastRowFirstColumn="0" w:lastRowLastColumn="0"/>
          <w:trHeight w:val="1015"/>
        </w:trPr>
        <w:tc>
          <w:tcPr>
            <w:tcW w:w="2425" w:type="dxa"/>
          </w:tcPr>
          <w:p w14:paraId="287D6BD8" w14:textId="78287251" w:rsidR="004847AA" w:rsidRPr="009A66BD" w:rsidRDefault="004847AA" w:rsidP="000B3B7C">
            <w:pPr>
              <w:spacing w:after="120" w:line="240" w:lineRule="auto"/>
              <w:ind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t xml:space="preserve">3.2 </w:t>
            </w:r>
            <w:r w:rsidR="00B85765" w:rsidRPr="009A66BD">
              <w:rPr>
                <w:rFonts w:asciiTheme="majorHAnsi" w:eastAsiaTheme="minorEastAsia" w:hAnsiTheme="majorHAnsi" w:cstheme="majorHAnsi"/>
                <w:i/>
                <w:iCs/>
                <w:szCs w:val="20"/>
                <w:lang w:val="sq-AL"/>
              </w:rPr>
              <w:t xml:space="preserve">Kryerja e një analize </w:t>
            </w:r>
            <w:r w:rsidR="00A10465">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 xml:space="preserve"> </w:t>
            </w:r>
            <w:r w:rsidR="006822F7">
              <w:rPr>
                <w:rFonts w:asciiTheme="majorHAnsi" w:eastAsiaTheme="minorEastAsia" w:hAnsiTheme="majorHAnsi" w:cstheme="majorHAnsi"/>
                <w:i/>
                <w:iCs/>
                <w:szCs w:val="20"/>
                <w:lang w:val="sq-AL"/>
              </w:rPr>
              <w:t>hendekut/</w:t>
            </w:r>
            <w:r w:rsidR="00B85765" w:rsidRPr="009A66BD">
              <w:rPr>
                <w:rFonts w:asciiTheme="majorHAnsi" w:eastAsiaTheme="minorEastAsia" w:hAnsiTheme="majorHAnsi" w:cstheme="majorHAnsi"/>
                <w:i/>
                <w:iCs/>
                <w:szCs w:val="20"/>
                <w:lang w:val="sq-AL"/>
              </w:rPr>
              <w:t>boshllëku</w:t>
            </w:r>
            <w:r w:rsidR="00A10465">
              <w:rPr>
                <w:rFonts w:asciiTheme="majorHAnsi" w:eastAsiaTheme="minorEastAsia" w:hAnsiTheme="majorHAnsi" w:cstheme="majorHAnsi"/>
                <w:i/>
                <w:iCs/>
                <w:szCs w:val="20"/>
                <w:lang w:val="sq-AL"/>
              </w:rPr>
              <w:t>t t</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 xml:space="preserve"> </w:t>
            </w:r>
            <w:r w:rsidR="00B85765" w:rsidRPr="009A66BD">
              <w:rPr>
                <w:rFonts w:asciiTheme="majorHAnsi" w:eastAsiaTheme="minorEastAsia" w:hAnsiTheme="majorHAnsi" w:cstheme="majorHAnsi"/>
                <w:i/>
                <w:iCs/>
                <w:szCs w:val="20"/>
                <w:lang w:val="sq-AL"/>
              </w:rPr>
              <w:t xml:space="preserve">legjislacionit specifik të investimeve </w:t>
            </w:r>
            <w:r w:rsidR="00A10465">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 xml:space="preserve"> brendshme t</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 xml:space="preserve"> </w:t>
            </w:r>
            <w:r w:rsidR="00B85765" w:rsidRPr="009A66BD">
              <w:rPr>
                <w:rFonts w:asciiTheme="majorHAnsi" w:eastAsiaTheme="minorEastAsia" w:hAnsiTheme="majorHAnsi" w:cstheme="majorHAnsi"/>
                <w:i/>
                <w:iCs/>
                <w:szCs w:val="20"/>
                <w:lang w:val="sq-AL"/>
              </w:rPr>
              <w:t>ekonomive me MNI-të e tyre dhe MNI-</w:t>
            </w:r>
            <w:r w:rsidR="00A10465">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 xml:space="preserve"> e gjenerat</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s s</w:t>
            </w:r>
            <w:r w:rsidR="006822F7">
              <w:rPr>
                <w:rFonts w:asciiTheme="majorHAnsi" w:eastAsiaTheme="minorEastAsia" w:hAnsiTheme="majorHAnsi" w:cstheme="majorHAnsi"/>
                <w:i/>
                <w:iCs/>
                <w:szCs w:val="20"/>
                <w:lang w:val="sq-AL"/>
              </w:rPr>
              <w:t>ë</w:t>
            </w:r>
            <w:r w:rsidR="00A10465">
              <w:rPr>
                <w:rFonts w:asciiTheme="majorHAnsi" w:eastAsiaTheme="minorEastAsia" w:hAnsiTheme="majorHAnsi" w:cstheme="majorHAnsi"/>
                <w:i/>
                <w:iCs/>
                <w:szCs w:val="20"/>
                <w:lang w:val="sq-AL"/>
              </w:rPr>
              <w:t xml:space="preserve"> re</w:t>
            </w:r>
            <w:r w:rsidR="00B85765" w:rsidRPr="009A66BD">
              <w:rPr>
                <w:rFonts w:asciiTheme="majorHAnsi" w:eastAsiaTheme="minorEastAsia" w:hAnsiTheme="majorHAnsi" w:cstheme="majorHAnsi"/>
                <w:i/>
                <w:iCs/>
                <w:szCs w:val="20"/>
                <w:lang w:val="sq-AL"/>
              </w:rPr>
              <w:t xml:space="preserve">, bazuar në një analizë gjithëpërfshirëse të kornizave </w:t>
            </w:r>
            <w:r w:rsidR="000B3B7C">
              <w:rPr>
                <w:rFonts w:asciiTheme="majorHAnsi" w:eastAsiaTheme="minorEastAsia" w:hAnsiTheme="majorHAnsi" w:cstheme="majorHAnsi"/>
                <w:i/>
                <w:iCs/>
                <w:szCs w:val="20"/>
                <w:lang w:val="sq-AL"/>
              </w:rPr>
              <w:t xml:space="preserve">ligjore </w:t>
            </w:r>
            <w:r w:rsidR="00B85765" w:rsidRPr="009A66BD">
              <w:rPr>
                <w:rFonts w:asciiTheme="majorHAnsi" w:eastAsiaTheme="minorEastAsia" w:hAnsiTheme="majorHAnsi" w:cstheme="majorHAnsi"/>
                <w:i/>
                <w:iCs/>
                <w:szCs w:val="20"/>
                <w:lang w:val="sq-AL"/>
              </w:rPr>
              <w:t>të investimeve</w:t>
            </w:r>
            <w:r w:rsidR="000B3B7C">
              <w:rPr>
                <w:rFonts w:asciiTheme="majorHAnsi" w:eastAsiaTheme="minorEastAsia" w:hAnsiTheme="majorHAnsi" w:cstheme="majorHAnsi"/>
                <w:i/>
                <w:iCs/>
                <w:szCs w:val="20"/>
                <w:lang w:val="sq-AL"/>
              </w:rPr>
              <w:t xml:space="preserve"> </w:t>
            </w:r>
            <w:r w:rsidR="00B85765" w:rsidRPr="009A66BD">
              <w:rPr>
                <w:rFonts w:asciiTheme="majorHAnsi" w:eastAsiaTheme="minorEastAsia" w:hAnsiTheme="majorHAnsi" w:cstheme="majorHAnsi"/>
                <w:i/>
                <w:iCs/>
                <w:szCs w:val="20"/>
                <w:lang w:val="sq-AL"/>
              </w:rPr>
              <w:t>të ekonomive që do të kryhe</w:t>
            </w:r>
            <w:r w:rsidR="000B3B7C">
              <w:rPr>
                <w:rFonts w:asciiTheme="majorHAnsi" w:eastAsiaTheme="minorEastAsia" w:hAnsiTheme="majorHAnsi" w:cstheme="majorHAnsi"/>
                <w:i/>
                <w:iCs/>
                <w:szCs w:val="20"/>
                <w:lang w:val="sq-AL"/>
              </w:rPr>
              <w:t>t</w:t>
            </w:r>
            <w:r w:rsidR="00B85765" w:rsidRPr="009A66BD">
              <w:rPr>
                <w:rFonts w:asciiTheme="majorHAnsi" w:eastAsiaTheme="minorEastAsia" w:hAnsiTheme="majorHAnsi" w:cstheme="majorHAnsi"/>
                <w:i/>
                <w:iCs/>
                <w:szCs w:val="20"/>
                <w:lang w:val="sq-AL"/>
              </w:rPr>
              <w:t xml:space="preserve"> pas miratimit të agjendës rajonale të reformës së investimeve</w:t>
            </w:r>
            <w:r w:rsidRPr="009A66BD">
              <w:rPr>
                <w:rFonts w:asciiTheme="majorHAnsi" w:eastAsiaTheme="minorEastAsia" w:hAnsiTheme="majorHAnsi" w:cstheme="majorHAnsi"/>
                <w:i/>
                <w:iCs/>
                <w:szCs w:val="20"/>
                <w:lang w:val="sq-AL"/>
              </w:rPr>
              <w:t>.</w:t>
            </w:r>
          </w:p>
        </w:tc>
        <w:tc>
          <w:tcPr>
            <w:tcW w:w="2520" w:type="dxa"/>
          </w:tcPr>
          <w:p w14:paraId="6E9F0D31" w14:textId="07A8D0FE" w:rsidR="004847AA" w:rsidRPr="009A66BD" w:rsidRDefault="004847AA" w:rsidP="006822F7">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szCs w:val="20"/>
                <w:lang w:val="sq-AL"/>
              </w:rPr>
              <w:t xml:space="preserve">3.2.1. </w:t>
            </w:r>
            <w:r w:rsidR="004330B8" w:rsidRPr="009A66BD">
              <w:rPr>
                <w:rFonts w:asciiTheme="minorHAnsi" w:eastAsiaTheme="minorEastAsia" w:hAnsiTheme="minorHAnsi" w:cstheme="minorHAnsi"/>
                <w:szCs w:val="20"/>
                <w:lang w:val="sq-AL"/>
              </w:rPr>
              <w:t xml:space="preserve">Kryerja e një analize gjithëpërfshirëse e kornizës së brendshme ligjore të Kosovës* për mbrojtjen e investimeve dhe analizimin e </w:t>
            </w:r>
            <w:r w:rsidR="006822F7">
              <w:rPr>
                <w:rFonts w:asciiTheme="minorHAnsi" w:eastAsiaTheme="minorEastAsia" w:hAnsiTheme="minorHAnsi" w:cstheme="minorHAnsi"/>
                <w:szCs w:val="20"/>
                <w:lang w:val="sq-AL"/>
              </w:rPr>
              <w:t>hendeqeve</w:t>
            </w:r>
            <w:r w:rsidR="004330B8" w:rsidRPr="009A66BD">
              <w:rPr>
                <w:rFonts w:asciiTheme="minorHAnsi" w:eastAsiaTheme="minorEastAsia" w:hAnsiTheme="minorHAnsi" w:cstheme="minorHAnsi"/>
                <w:szCs w:val="20"/>
                <w:lang w:val="sq-AL"/>
              </w:rPr>
              <w:t xml:space="preserve"> </w:t>
            </w:r>
            <w:r w:rsidR="00374E3B" w:rsidRPr="009A66BD">
              <w:rPr>
                <w:rFonts w:asciiTheme="minorHAnsi" w:eastAsiaTheme="minorEastAsia" w:hAnsiTheme="minorHAnsi" w:cstheme="minorHAnsi"/>
                <w:szCs w:val="20"/>
                <w:lang w:val="sq-AL"/>
              </w:rPr>
              <w:t>kundrejt</w:t>
            </w:r>
            <w:r w:rsidR="004330B8" w:rsidRPr="009A66BD">
              <w:rPr>
                <w:rFonts w:asciiTheme="minorHAnsi" w:eastAsiaTheme="minorEastAsia" w:hAnsiTheme="minorHAnsi" w:cstheme="minorHAnsi"/>
                <w:szCs w:val="20"/>
                <w:lang w:val="sq-AL"/>
              </w:rPr>
              <w:t xml:space="preserve"> MNI-ve të ekonomisë, si dhe me gjenerata të reja të MNI-ve</w:t>
            </w:r>
            <w:r w:rsidR="00B85765" w:rsidRPr="009A66BD">
              <w:rPr>
                <w:rFonts w:asciiTheme="minorHAnsi" w:eastAsiaTheme="minorEastAsia" w:hAnsiTheme="minorHAnsi" w:cstheme="minorHAnsi"/>
                <w:szCs w:val="20"/>
                <w:lang w:val="sq-AL"/>
              </w:rPr>
              <w:t>.</w:t>
            </w:r>
          </w:p>
        </w:tc>
        <w:tc>
          <w:tcPr>
            <w:tcW w:w="900" w:type="dxa"/>
            <w:tcBorders>
              <w:bottom w:val="single" w:sz="4" w:space="0" w:color="FFFFFF" w:themeColor="background1"/>
            </w:tcBorders>
          </w:tcPr>
          <w:p w14:paraId="66C9F4D4" w14:textId="2A411097" w:rsidR="004847AA" w:rsidRPr="009A66BD" w:rsidRDefault="0006464E"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Shtator</w:t>
            </w:r>
            <w:r w:rsidRPr="009A66BD">
              <w:rPr>
                <w:rFonts w:asciiTheme="minorHAnsi" w:eastAsiaTheme="minorEastAsia" w:hAnsiTheme="minorHAnsi" w:cstheme="minorHAnsi"/>
                <w:szCs w:val="20"/>
                <w:lang w:val="sq-AL"/>
              </w:rPr>
              <w:t xml:space="preserve"> </w:t>
            </w:r>
            <w:r w:rsidR="004847AA" w:rsidRPr="009A66BD">
              <w:rPr>
                <w:rFonts w:asciiTheme="minorHAnsi" w:eastAsiaTheme="minorEastAsia" w:hAnsiTheme="minorHAnsi" w:cstheme="minorHAnsi"/>
                <w:szCs w:val="20"/>
                <w:lang w:val="sq-AL"/>
              </w:rPr>
              <w:t>2019</w:t>
            </w:r>
          </w:p>
        </w:tc>
        <w:tc>
          <w:tcPr>
            <w:tcW w:w="1260" w:type="dxa"/>
            <w:tcBorders>
              <w:bottom w:val="single" w:sz="4" w:space="0" w:color="FFFFFF" w:themeColor="background1"/>
            </w:tcBorders>
          </w:tcPr>
          <w:p w14:paraId="302DD817" w14:textId="75A8DDFE" w:rsidR="004847AA" w:rsidRPr="009A66BD" w:rsidRDefault="0063032B"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Tregtisë dhe Industrisë</w:t>
            </w:r>
            <w:r w:rsidR="00B12C21" w:rsidRPr="009A66BD">
              <w:rPr>
                <w:rFonts w:asciiTheme="minorHAnsi" w:eastAsiaTheme="minorEastAsia" w:hAnsiTheme="minorHAnsi" w:cstheme="minorHAnsi"/>
                <w:szCs w:val="20"/>
                <w:lang w:val="sq-AL"/>
              </w:rPr>
              <w:t xml:space="preserve"> </w:t>
            </w:r>
          </w:p>
        </w:tc>
        <w:tc>
          <w:tcPr>
            <w:tcW w:w="1980" w:type="dxa"/>
            <w:tcBorders>
              <w:bottom w:val="single" w:sz="4" w:space="0" w:color="FFFFFF" w:themeColor="background1"/>
            </w:tcBorders>
          </w:tcPr>
          <w:p w14:paraId="6CC255BC" w14:textId="7C48CB59" w:rsidR="004847AA" w:rsidRPr="009A66BD" w:rsidRDefault="004330B8" w:rsidP="008070D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Një raport specifik për ekonominë që shqyrton </w:t>
            </w:r>
            <w:r w:rsidR="00085A97" w:rsidRPr="009A66BD">
              <w:rPr>
                <w:rFonts w:asciiTheme="minorHAnsi" w:eastAsiaTheme="minorEastAsia" w:hAnsiTheme="minorHAnsi" w:cstheme="minorHAnsi"/>
                <w:szCs w:val="20"/>
                <w:lang w:val="sq-AL"/>
              </w:rPr>
              <w:t>kornizën</w:t>
            </w:r>
            <w:r w:rsidRPr="009A66BD">
              <w:rPr>
                <w:rFonts w:asciiTheme="minorHAnsi" w:eastAsiaTheme="minorEastAsia" w:hAnsiTheme="minorHAnsi" w:cstheme="minorHAnsi"/>
                <w:szCs w:val="20"/>
                <w:lang w:val="sq-AL"/>
              </w:rPr>
              <w:t xml:space="preserve"> </w:t>
            </w:r>
            <w:r w:rsidR="008070D4">
              <w:rPr>
                <w:rFonts w:asciiTheme="minorHAnsi" w:eastAsiaTheme="minorEastAsia" w:hAnsiTheme="minorHAnsi" w:cstheme="minorHAnsi"/>
                <w:szCs w:val="20"/>
                <w:lang w:val="sq-AL"/>
              </w:rPr>
              <w:t xml:space="preserve">e brendshme ligjore </w:t>
            </w:r>
            <w:r w:rsidRPr="009A66BD">
              <w:rPr>
                <w:rFonts w:asciiTheme="minorHAnsi" w:eastAsiaTheme="minorEastAsia" w:hAnsiTheme="minorHAnsi" w:cstheme="minorHAnsi"/>
                <w:szCs w:val="20"/>
                <w:lang w:val="sq-AL"/>
              </w:rPr>
              <w:t xml:space="preserve">të Kosovës* për mbrojtjen e investimeve dhe krahasimin e tij </w:t>
            </w:r>
            <w:r w:rsidR="00374E3B" w:rsidRPr="009A66BD">
              <w:rPr>
                <w:rFonts w:asciiTheme="minorHAnsi" w:eastAsiaTheme="minorEastAsia" w:hAnsiTheme="minorHAnsi" w:cstheme="minorHAnsi"/>
                <w:szCs w:val="20"/>
                <w:lang w:val="sq-AL"/>
              </w:rPr>
              <w:t>kundrejt</w:t>
            </w:r>
            <w:r w:rsidRPr="009A66BD">
              <w:rPr>
                <w:rFonts w:asciiTheme="minorHAnsi" w:eastAsiaTheme="minorEastAsia" w:hAnsiTheme="minorHAnsi" w:cstheme="minorHAnsi"/>
                <w:szCs w:val="20"/>
                <w:lang w:val="sq-AL"/>
              </w:rPr>
              <w:t xml:space="preserve"> MNI-ve të </w:t>
            </w:r>
            <w:r w:rsidR="008070D4">
              <w:rPr>
                <w:rFonts w:asciiTheme="minorHAnsi" w:eastAsiaTheme="minorEastAsia" w:hAnsiTheme="minorHAnsi" w:cstheme="minorHAnsi"/>
                <w:szCs w:val="20"/>
                <w:lang w:val="sq-AL"/>
              </w:rPr>
              <w:t>ekonomis</w:t>
            </w:r>
            <w:r w:rsidR="006822F7">
              <w:rPr>
                <w:rFonts w:asciiTheme="minorHAnsi" w:eastAsiaTheme="minorEastAsia" w:hAnsiTheme="minorHAnsi" w:cstheme="minorHAnsi"/>
                <w:szCs w:val="20"/>
                <w:lang w:val="sq-AL"/>
              </w:rPr>
              <w:t>ë</w:t>
            </w:r>
            <w:r w:rsidR="008070D4">
              <w:rPr>
                <w:rFonts w:asciiTheme="minorHAnsi" w:eastAsiaTheme="minorEastAsia" w:hAnsiTheme="minorHAnsi" w:cstheme="minorHAnsi"/>
                <w:szCs w:val="20"/>
                <w:lang w:val="sq-AL"/>
              </w:rPr>
              <w:t xml:space="preserve"> dhe </w:t>
            </w:r>
            <w:r w:rsidRPr="009A66BD">
              <w:rPr>
                <w:rFonts w:asciiTheme="minorHAnsi" w:eastAsiaTheme="minorEastAsia" w:hAnsiTheme="minorHAnsi" w:cstheme="minorHAnsi"/>
                <w:szCs w:val="20"/>
                <w:lang w:val="sq-AL"/>
              </w:rPr>
              <w:t xml:space="preserve"> MNI-ve të gjeneratës së re</w:t>
            </w:r>
            <w:r w:rsidR="004847AA" w:rsidRPr="009A66BD">
              <w:rPr>
                <w:rFonts w:asciiTheme="minorHAnsi" w:eastAsiaTheme="minorEastAsia" w:hAnsiTheme="minorHAnsi" w:cstheme="minorHAnsi"/>
                <w:szCs w:val="20"/>
                <w:lang w:val="sq-AL"/>
              </w:rPr>
              <w:t>.</w:t>
            </w:r>
          </w:p>
        </w:tc>
        <w:tc>
          <w:tcPr>
            <w:tcW w:w="1080" w:type="dxa"/>
            <w:tcBorders>
              <w:bottom w:val="single" w:sz="4" w:space="0" w:color="FFFFFF" w:themeColor="background1"/>
            </w:tcBorders>
          </w:tcPr>
          <w:p w14:paraId="765FFCA3" w14:textId="7F236D5A" w:rsidR="004847AA" w:rsidRPr="009A66BD"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9A66BD">
              <w:rPr>
                <w:rFonts w:asciiTheme="minorHAnsi" w:eastAsiaTheme="minorEastAsia" w:hAnsiTheme="minorHAnsi" w:cstheme="minorBidi"/>
                <w:szCs w:val="20"/>
                <w:lang w:val="sq-AL"/>
              </w:rPr>
              <w:t xml:space="preserve"> - BP PPI</w:t>
            </w:r>
          </w:p>
        </w:tc>
        <w:tc>
          <w:tcPr>
            <w:tcW w:w="4770" w:type="dxa"/>
          </w:tcPr>
          <w:p w14:paraId="4796B521" w14:textId="53A1C5B0" w:rsidR="004847AA" w:rsidRPr="009A66BD" w:rsidRDefault="00B85765"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SimSun" w:hAnsiTheme="minorHAnsi" w:cstheme="minorHAnsi"/>
                <w:i/>
                <w:szCs w:val="20"/>
                <w:lang w:val="sq-AL" w:eastAsia="zh-CN"/>
              </w:rPr>
              <w:t>Fushëveprimi i analizës është përshkruar në Shtojcë</w:t>
            </w:r>
            <w:r w:rsidR="004847AA" w:rsidRPr="009A66BD">
              <w:rPr>
                <w:rFonts w:asciiTheme="minorHAnsi" w:eastAsia="SimSun" w:hAnsiTheme="minorHAnsi" w:cstheme="minorHAnsi"/>
                <w:i/>
                <w:szCs w:val="20"/>
                <w:lang w:val="sq-AL" w:eastAsia="zh-CN"/>
              </w:rPr>
              <w:t>.</w:t>
            </w:r>
          </w:p>
        </w:tc>
      </w:tr>
      <w:tr w:rsidR="004847AA" w:rsidRPr="00612497" w14:paraId="4114999B" w14:textId="77777777" w:rsidTr="00F50EF6">
        <w:trPr>
          <w:trHeight w:val="1015"/>
        </w:trPr>
        <w:tc>
          <w:tcPr>
            <w:tcW w:w="2425" w:type="dxa"/>
          </w:tcPr>
          <w:p w14:paraId="21A7CE9B" w14:textId="7C2FA8D2" w:rsidR="004847AA" w:rsidRPr="009A66BD" w:rsidRDefault="004847AA" w:rsidP="003D1C69">
            <w:pPr>
              <w:spacing w:after="120" w:line="240" w:lineRule="auto"/>
              <w:ind w:firstLine="0"/>
              <w:jc w:val="left"/>
              <w:rPr>
                <w:rFonts w:asciiTheme="majorHAnsi" w:eastAsiaTheme="minorEastAsia" w:hAnsiTheme="majorHAnsi" w:cstheme="majorHAnsi"/>
                <w:szCs w:val="20"/>
                <w:lang w:val="sq-AL"/>
              </w:rPr>
            </w:pPr>
            <w:bookmarkStart w:id="10" w:name="_Hlk524355032"/>
            <w:r w:rsidRPr="009A66BD">
              <w:rPr>
                <w:rFonts w:asciiTheme="majorHAnsi" w:eastAsiaTheme="minorEastAsia" w:hAnsiTheme="majorHAnsi" w:cstheme="majorHAnsi"/>
                <w:i/>
                <w:iCs/>
                <w:szCs w:val="20"/>
                <w:lang w:val="sq-AL"/>
              </w:rPr>
              <w:lastRenderedPageBreak/>
              <w:t xml:space="preserve">3.3 </w:t>
            </w:r>
            <w:r w:rsidR="00A6475D" w:rsidRPr="009A66BD">
              <w:rPr>
                <w:rFonts w:asciiTheme="majorHAnsi" w:eastAsiaTheme="minorEastAsia" w:hAnsiTheme="majorHAnsi" w:cstheme="majorHAnsi"/>
                <w:i/>
                <w:iCs/>
                <w:szCs w:val="20"/>
                <w:lang w:val="sq-AL"/>
              </w:rPr>
              <w:t>Përmirësimi i legjislacioneve vendore në përputhje me standardet e përcaktuara në MNI-të e gjeneratës së re</w:t>
            </w:r>
            <w:r w:rsidRPr="009A66BD">
              <w:rPr>
                <w:rFonts w:asciiTheme="majorHAnsi" w:eastAsiaTheme="minorEastAsia" w:hAnsiTheme="majorHAnsi" w:cstheme="majorHAnsi"/>
                <w:i/>
                <w:iCs/>
                <w:szCs w:val="20"/>
                <w:lang w:val="sq-AL"/>
              </w:rPr>
              <w:t>.</w:t>
            </w:r>
          </w:p>
        </w:tc>
        <w:tc>
          <w:tcPr>
            <w:tcW w:w="2520" w:type="dxa"/>
          </w:tcPr>
          <w:p w14:paraId="3DADD1DF" w14:textId="0992A61C" w:rsidR="004847AA" w:rsidRPr="009A66BD" w:rsidRDefault="004847AA" w:rsidP="008070D4">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szCs w:val="20"/>
                <w:lang w:val="sq-AL"/>
              </w:rPr>
              <w:t xml:space="preserve">3.3.1. </w:t>
            </w:r>
            <w:r w:rsidR="008070D4">
              <w:rPr>
                <w:rFonts w:asciiTheme="minorHAnsi" w:eastAsiaTheme="minorEastAsia" w:hAnsiTheme="minorHAnsi" w:cstheme="minorHAnsi"/>
                <w:szCs w:val="20"/>
                <w:lang w:val="sq-AL"/>
              </w:rPr>
              <w:t xml:space="preserve">Shqyrtimi dhe vendimi </w:t>
            </w:r>
            <w:r w:rsidR="00A6475D" w:rsidRPr="009A66BD">
              <w:rPr>
                <w:rFonts w:asciiTheme="minorHAnsi" w:eastAsiaTheme="minorEastAsia" w:hAnsiTheme="minorHAnsi" w:cstheme="minorHAnsi"/>
                <w:szCs w:val="20"/>
                <w:lang w:val="sq-AL"/>
              </w:rPr>
              <w:t xml:space="preserve"> për për</w:t>
            </w:r>
            <w:r w:rsidR="008070D4">
              <w:rPr>
                <w:rFonts w:asciiTheme="minorHAnsi" w:eastAsiaTheme="minorEastAsia" w:hAnsiTheme="minorHAnsi" w:cstheme="minorHAnsi"/>
                <w:szCs w:val="20"/>
                <w:lang w:val="sq-AL"/>
              </w:rPr>
              <w:t>mirësimin e legjislacionit vendor</w:t>
            </w:r>
            <w:r w:rsidR="00A6475D" w:rsidRPr="009A66BD">
              <w:rPr>
                <w:rFonts w:asciiTheme="minorHAnsi" w:eastAsiaTheme="minorEastAsia" w:hAnsiTheme="minorHAnsi" w:cstheme="minorHAnsi"/>
                <w:szCs w:val="20"/>
                <w:lang w:val="sq-AL"/>
              </w:rPr>
              <w:t xml:space="preserve"> bazuar në analizat e kryera sipas </w:t>
            </w:r>
            <w:r w:rsidR="008070D4">
              <w:rPr>
                <w:rFonts w:asciiTheme="minorHAnsi" w:eastAsiaTheme="minorEastAsia" w:hAnsiTheme="minorHAnsi" w:cstheme="minorHAnsi"/>
                <w:szCs w:val="20"/>
                <w:lang w:val="sq-AL"/>
              </w:rPr>
              <w:t>Veprimit t</w:t>
            </w:r>
            <w:r w:rsidR="006822F7">
              <w:rPr>
                <w:rFonts w:asciiTheme="minorHAnsi" w:eastAsiaTheme="minorEastAsia" w:hAnsiTheme="minorHAnsi" w:cstheme="minorHAnsi"/>
                <w:szCs w:val="20"/>
                <w:lang w:val="sq-AL"/>
              </w:rPr>
              <w:t>ë</w:t>
            </w:r>
            <w:r w:rsidR="008070D4">
              <w:rPr>
                <w:rFonts w:asciiTheme="minorHAnsi" w:eastAsiaTheme="minorEastAsia" w:hAnsiTheme="minorHAnsi" w:cstheme="minorHAnsi"/>
                <w:szCs w:val="20"/>
                <w:lang w:val="sq-AL"/>
              </w:rPr>
              <w:t xml:space="preserve"> Reform</w:t>
            </w:r>
            <w:r w:rsidR="006822F7">
              <w:rPr>
                <w:rFonts w:asciiTheme="minorHAnsi" w:eastAsiaTheme="minorEastAsia" w:hAnsiTheme="minorHAnsi" w:cstheme="minorHAnsi"/>
                <w:szCs w:val="20"/>
                <w:lang w:val="sq-AL"/>
              </w:rPr>
              <w:t>ë</w:t>
            </w:r>
            <w:r w:rsidR="008070D4">
              <w:rPr>
                <w:rFonts w:asciiTheme="minorHAnsi" w:eastAsiaTheme="minorEastAsia" w:hAnsiTheme="minorHAnsi" w:cstheme="minorHAnsi"/>
                <w:szCs w:val="20"/>
                <w:lang w:val="sq-AL"/>
              </w:rPr>
              <w:t>s  3.2</w:t>
            </w:r>
            <w:r w:rsidR="008D1003" w:rsidRPr="009A66BD">
              <w:rPr>
                <w:rFonts w:asciiTheme="minorHAnsi" w:eastAsiaTheme="minorEastAsia" w:hAnsiTheme="minorHAnsi" w:cstheme="minorHAnsi"/>
                <w:szCs w:val="20"/>
                <w:lang w:val="sq-AL"/>
              </w:rPr>
              <w:t>.</w:t>
            </w:r>
          </w:p>
        </w:tc>
        <w:tc>
          <w:tcPr>
            <w:tcW w:w="900" w:type="dxa"/>
            <w:tcBorders>
              <w:bottom w:val="single" w:sz="4" w:space="0" w:color="FFFFFF" w:themeColor="background1"/>
            </w:tcBorders>
          </w:tcPr>
          <w:p w14:paraId="0D396937" w14:textId="6FD950B8" w:rsidR="004847AA" w:rsidRPr="009A66BD" w:rsidRDefault="0006464E"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Dhjetor</w:t>
            </w:r>
          </w:p>
          <w:p w14:paraId="50592F61" w14:textId="6E862B95" w:rsidR="004847AA" w:rsidRPr="009A66BD" w:rsidRDefault="004847AA"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2019</w:t>
            </w:r>
          </w:p>
        </w:tc>
        <w:tc>
          <w:tcPr>
            <w:tcW w:w="1260" w:type="dxa"/>
            <w:tcBorders>
              <w:bottom w:val="single" w:sz="4" w:space="0" w:color="FFFFFF" w:themeColor="background1"/>
            </w:tcBorders>
          </w:tcPr>
          <w:p w14:paraId="7D17D872" w14:textId="5A4EE9BD" w:rsidR="004847AA" w:rsidRPr="009A66BD" w:rsidRDefault="0027480E"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ose Agjencia me mandat përkatës</w:t>
            </w:r>
          </w:p>
        </w:tc>
        <w:tc>
          <w:tcPr>
            <w:tcW w:w="1980" w:type="dxa"/>
            <w:tcBorders>
              <w:bottom w:val="single" w:sz="4" w:space="0" w:color="FFFFFF" w:themeColor="background1"/>
            </w:tcBorders>
          </w:tcPr>
          <w:p w14:paraId="087B6E23" w14:textId="18AB6DED" w:rsidR="004847AA" w:rsidRPr="009A66BD" w:rsidRDefault="008D1003" w:rsidP="008070D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Lista e legjislacionit dhe rregulloreve të shën</w:t>
            </w:r>
            <w:r w:rsidR="008070D4">
              <w:rPr>
                <w:rFonts w:asciiTheme="minorHAnsi" w:eastAsiaTheme="minorEastAsia" w:hAnsiTheme="minorHAnsi" w:cstheme="minorHAnsi"/>
                <w:szCs w:val="20"/>
                <w:lang w:val="sq-AL"/>
              </w:rPr>
              <w:t>j</w:t>
            </w:r>
            <w:r w:rsidRPr="009A66BD">
              <w:rPr>
                <w:rFonts w:asciiTheme="minorHAnsi" w:eastAsiaTheme="minorEastAsia" w:hAnsiTheme="minorHAnsi" w:cstheme="minorHAnsi"/>
                <w:szCs w:val="20"/>
                <w:lang w:val="sq-AL"/>
              </w:rPr>
              <w:t>uara për përmirësim</w:t>
            </w:r>
            <w:r w:rsidR="004847AA" w:rsidRPr="009A66BD">
              <w:rPr>
                <w:rFonts w:asciiTheme="minorHAnsi" w:eastAsiaTheme="minorEastAsia" w:hAnsiTheme="minorHAnsi" w:cstheme="minorHAnsi"/>
                <w:szCs w:val="20"/>
                <w:lang w:val="sq-AL"/>
              </w:rPr>
              <w:t>.</w:t>
            </w:r>
          </w:p>
        </w:tc>
        <w:tc>
          <w:tcPr>
            <w:tcW w:w="1080" w:type="dxa"/>
            <w:tcBorders>
              <w:bottom w:val="single" w:sz="4" w:space="0" w:color="FFFFFF" w:themeColor="background1"/>
            </w:tcBorders>
          </w:tcPr>
          <w:p w14:paraId="023CFCA6" w14:textId="533B3DC8" w:rsidR="004847AA" w:rsidRPr="009A66BD" w:rsidRDefault="00045F5A"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4770" w:type="dxa"/>
          </w:tcPr>
          <w:p w14:paraId="2788AAFE" w14:textId="24549F26" w:rsidR="004847AA" w:rsidRPr="009A66BD" w:rsidRDefault="00B44731" w:rsidP="008070D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i/>
                <w:szCs w:val="20"/>
                <w:lang w:val="sq-AL"/>
              </w:rPr>
              <w:t xml:space="preserve">Pas vendimit, autoritetet e Kosovës* do të përditësojnë këtë </w:t>
            </w:r>
            <w:r w:rsidR="008070D4">
              <w:rPr>
                <w:rFonts w:asciiTheme="minorHAnsi" w:eastAsiaTheme="minorEastAsia" w:hAnsiTheme="minorHAnsi" w:cstheme="minorBidi"/>
                <w:i/>
                <w:szCs w:val="20"/>
                <w:lang w:val="sq-AL"/>
              </w:rPr>
              <w:t xml:space="preserve">seksion </w:t>
            </w:r>
            <w:r w:rsidRPr="009A66BD">
              <w:rPr>
                <w:rFonts w:asciiTheme="minorHAnsi" w:eastAsiaTheme="minorEastAsia" w:hAnsiTheme="minorHAnsi" w:cstheme="minorBidi"/>
                <w:i/>
                <w:szCs w:val="20"/>
                <w:lang w:val="sq-AL"/>
              </w:rPr>
              <w:t xml:space="preserve">të PVRI-së në </w:t>
            </w:r>
            <w:r w:rsidR="008070D4">
              <w:rPr>
                <w:rFonts w:asciiTheme="minorHAnsi" w:eastAsiaTheme="minorEastAsia" w:hAnsiTheme="minorHAnsi" w:cstheme="minorBidi"/>
                <w:i/>
                <w:szCs w:val="20"/>
                <w:lang w:val="sq-AL"/>
              </w:rPr>
              <w:t>m</w:t>
            </w:r>
            <w:r w:rsidR="006822F7">
              <w:rPr>
                <w:rFonts w:asciiTheme="minorHAnsi" w:eastAsiaTheme="minorEastAsia" w:hAnsiTheme="minorHAnsi" w:cstheme="minorBidi"/>
                <w:i/>
                <w:szCs w:val="20"/>
                <w:lang w:val="sq-AL"/>
              </w:rPr>
              <w:t>ë</w:t>
            </w:r>
            <w:r w:rsidR="008070D4">
              <w:rPr>
                <w:rFonts w:asciiTheme="minorHAnsi" w:eastAsiaTheme="minorEastAsia" w:hAnsiTheme="minorHAnsi" w:cstheme="minorBidi"/>
                <w:i/>
                <w:szCs w:val="20"/>
                <w:lang w:val="sq-AL"/>
              </w:rPr>
              <w:t>nyr</w:t>
            </w:r>
            <w:r w:rsidR="006822F7">
              <w:rPr>
                <w:rFonts w:asciiTheme="minorHAnsi" w:eastAsiaTheme="minorEastAsia" w:hAnsiTheme="minorHAnsi" w:cstheme="minorBidi"/>
                <w:i/>
                <w:szCs w:val="20"/>
                <w:lang w:val="sq-AL"/>
              </w:rPr>
              <w:t>ë</w:t>
            </w:r>
            <w:r w:rsidR="008070D4">
              <w:rPr>
                <w:rFonts w:asciiTheme="minorHAnsi" w:eastAsiaTheme="minorEastAsia" w:hAnsiTheme="minorHAnsi" w:cstheme="minorBidi"/>
                <w:i/>
                <w:szCs w:val="20"/>
                <w:lang w:val="sq-AL"/>
              </w:rPr>
              <w:t xml:space="preserve"> p</w:t>
            </w:r>
            <w:r w:rsidR="006822F7">
              <w:rPr>
                <w:rFonts w:asciiTheme="minorHAnsi" w:eastAsiaTheme="minorEastAsia" w:hAnsiTheme="minorHAnsi" w:cstheme="minorBidi"/>
                <w:i/>
                <w:szCs w:val="20"/>
                <w:lang w:val="sq-AL"/>
              </w:rPr>
              <w:t>ë</w:t>
            </w:r>
            <w:r w:rsidR="008070D4">
              <w:rPr>
                <w:rFonts w:asciiTheme="minorHAnsi" w:eastAsiaTheme="minorEastAsia" w:hAnsiTheme="minorHAnsi" w:cstheme="minorBidi"/>
                <w:i/>
                <w:szCs w:val="20"/>
                <w:lang w:val="sq-AL"/>
              </w:rPr>
              <w:t>rkat</w:t>
            </w:r>
            <w:r w:rsidR="006822F7">
              <w:rPr>
                <w:rFonts w:asciiTheme="minorHAnsi" w:eastAsiaTheme="minorEastAsia" w:hAnsiTheme="minorHAnsi" w:cstheme="minorBidi"/>
                <w:i/>
                <w:szCs w:val="20"/>
                <w:lang w:val="sq-AL"/>
              </w:rPr>
              <w:t>ë</w:t>
            </w:r>
            <w:r w:rsidR="008070D4">
              <w:rPr>
                <w:rFonts w:asciiTheme="minorHAnsi" w:eastAsiaTheme="minorEastAsia" w:hAnsiTheme="minorHAnsi" w:cstheme="minorBidi"/>
                <w:i/>
                <w:szCs w:val="20"/>
                <w:lang w:val="sq-AL"/>
              </w:rPr>
              <w:t xml:space="preserve">se </w:t>
            </w:r>
            <w:r w:rsidRPr="009A66BD">
              <w:rPr>
                <w:rFonts w:asciiTheme="minorHAnsi" w:eastAsiaTheme="minorEastAsia" w:hAnsiTheme="minorHAnsi" w:cstheme="minorBidi"/>
                <w:i/>
                <w:szCs w:val="20"/>
                <w:lang w:val="sq-AL"/>
              </w:rPr>
              <w:t xml:space="preserve">dhe do të specifikojnë / përshkruajnë më tutje çdo përpjekje reformash që Qeveria synon të ndërmarrë sipas </w:t>
            </w:r>
            <w:r w:rsidR="008070D4">
              <w:rPr>
                <w:rFonts w:asciiTheme="minorHAnsi" w:eastAsiaTheme="minorEastAsia" w:hAnsiTheme="minorHAnsi" w:cstheme="minorBidi"/>
                <w:i/>
                <w:szCs w:val="20"/>
                <w:lang w:val="sq-AL"/>
              </w:rPr>
              <w:t xml:space="preserve">veprimit </w:t>
            </w:r>
            <w:r w:rsidRPr="009A66BD">
              <w:rPr>
                <w:rFonts w:asciiTheme="minorHAnsi" w:eastAsiaTheme="minorEastAsia" w:hAnsiTheme="minorHAnsi" w:cstheme="minorBidi"/>
                <w:i/>
                <w:szCs w:val="20"/>
                <w:lang w:val="sq-AL"/>
              </w:rPr>
              <w:t>3.3.1. të PVRI-së</w:t>
            </w:r>
          </w:p>
        </w:tc>
      </w:tr>
      <w:bookmarkEnd w:id="10"/>
      <w:tr w:rsidR="004847AA" w:rsidRPr="00612497" w14:paraId="56393741" w14:textId="77777777" w:rsidTr="00F50EF6">
        <w:trPr>
          <w:cnfStyle w:val="000000100000" w:firstRow="0" w:lastRow="0" w:firstColumn="0" w:lastColumn="0" w:oddVBand="0" w:evenVBand="0" w:oddHBand="1" w:evenHBand="0" w:firstRowFirstColumn="0" w:firstRowLastColumn="0" w:lastRowFirstColumn="0" w:lastRowLastColumn="0"/>
          <w:trHeight w:val="1014"/>
        </w:trPr>
        <w:tc>
          <w:tcPr>
            <w:tcW w:w="2425" w:type="dxa"/>
          </w:tcPr>
          <w:p w14:paraId="7169E369" w14:textId="2BC52D72" w:rsidR="004847AA" w:rsidRPr="009A66BD" w:rsidRDefault="004847AA" w:rsidP="008070D4">
            <w:pPr>
              <w:spacing w:after="120" w:line="240" w:lineRule="auto"/>
              <w:ind w:left="520"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t xml:space="preserve">3.4 </w:t>
            </w:r>
            <w:r w:rsidR="00B260F5" w:rsidRPr="009A66BD">
              <w:rPr>
                <w:rFonts w:asciiTheme="majorHAnsi" w:eastAsiaTheme="minorEastAsia" w:hAnsiTheme="majorHAnsi" w:cstheme="majorHAnsi"/>
                <w:i/>
                <w:iCs/>
                <w:szCs w:val="20"/>
                <w:lang w:val="sq-AL"/>
              </w:rPr>
              <w:t xml:space="preserve">Forcimi i mandatit të Grupit të Përbashkët Punues të SEEIC-CEFTA mbi Investimet për ta themeluar atë si një mekanizëm për shkëmbimin rajonal </w:t>
            </w:r>
            <w:r w:rsidR="008070D4">
              <w:rPr>
                <w:rFonts w:asciiTheme="majorHAnsi" w:eastAsiaTheme="minorEastAsia" w:hAnsiTheme="majorHAnsi" w:cstheme="majorHAnsi"/>
                <w:i/>
                <w:iCs/>
                <w:szCs w:val="20"/>
                <w:lang w:val="sq-AL"/>
              </w:rPr>
              <w:t xml:space="preserve">mbi </w:t>
            </w:r>
            <w:r w:rsidR="00B260F5" w:rsidRPr="009A66BD">
              <w:rPr>
                <w:rFonts w:asciiTheme="majorHAnsi" w:eastAsiaTheme="minorEastAsia" w:hAnsiTheme="majorHAnsi" w:cstheme="majorHAnsi"/>
                <w:i/>
                <w:iCs/>
                <w:szCs w:val="20"/>
                <w:lang w:val="sq-AL"/>
              </w:rPr>
              <w:t>standarde</w:t>
            </w:r>
            <w:r w:rsidR="008070D4">
              <w:rPr>
                <w:rFonts w:asciiTheme="majorHAnsi" w:eastAsiaTheme="minorEastAsia" w:hAnsiTheme="majorHAnsi" w:cstheme="majorHAnsi"/>
                <w:i/>
                <w:iCs/>
                <w:szCs w:val="20"/>
                <w:lang w:val="sq-AL"/>
              </w:rPr>
              <w:t xml:space="preserve">t e </w:t>
            </w:r>
            <w:r w:rsidR="00B260F5" w:rsidRPr="009A66BD">
              <w:rPr>
                <w:rFonts w:asciiTheme="majorHAnsi" w:eastAsiaTheme="minorEastAsia" w:hAnsiTheme="majorHAnsi" w:cstheme="majorHAnsi"/>
                <w:i/>
                <w:iCs/>
                <w:szCs w:val="20"/>
                <w:lang w:val="sq-AL"/>
              </w:rPr>
              <w:t xml:space="preserve">MNI-së, modernizimin e MNI-ve dhe nëse konsiderohet e nevojshme nga ekonomitë pjesëmarrëse, për të mundësuar zhvillimin e një qasjeje strategjike për negocimin / </w:t>
            </w:r>
            <w:r w:rsidR="008070D4">
              <w:rPr>
                <w:rFonts w:asciiTheme="majorHAnsi" w:eastAsiaTheme="minorEastAsia" w:hAnsiTheme="majorHAnsi" w:cstheme="majorHAnsi"/>
                <w:i/>
                <w:iCs/>
                <w:szCs w:val="20"/>
                <w:lang w:val="sq-AL"/>
              </w:rPr>
              <w:t xml:space="preserve">revidimin </w:t>
            </w:r>
            <w:r w:rsidR="00B260F5" w:rsidRPr="009A66BD">
              <w:rPr>
                <w:rFonts w:asciiTheme="majorHAnsi" w:eastAsiaTheme="minorEastAsia" w:hAnsiTheme="majorHAnsi" w:cstheme="majorHAnsi"/>
                <w:i/>
                <w:iCs/>
                <w:szCs w:val="20"/>
                <w:lang w:val="sq-AL"/>
              </w:rPr>
              <w:t>e MNI-ve.</w:t>
            </w:r>
          </w:p>
        </w:tc>
        <w:tc>
          <w:tcPr>
            <w:tcW w:w="2520" w:type="dxa"/>
          </w:tcPr>
          <w:p w14:paraId="06462903" w14:textId="6EC058F7" w:rsidR="004847AA" w:rsidRPr="009A66BD" w:rsidRDefault="004847AA" w:rsidP="008070D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3.4.1. </w:t>
            </w:r>
            <w:r w:rsidR="00B260F5" w:rsidRPr="009A66BD">
              <w:rPr>
                <w:rFonts w:asciiTheme="minorHAnsi" w:eastAsiaTheme="minorEastAsia" w:hAnsiTheme="minorHAnsi" w:cstheme="minorHAnsi"/>
                <w:szCs w:val="20"/>
                <w:lang w:val="sq-AL"/>
              </w:rPr>
              <w:t>Mbështetja e këtij shkëmbim</w:t>
            </w:r>
            <w:r w:rsidR="008070D4">
              <w:rPr>
                <w:rFonts w:asciiTheme="minorHAnsi" w:eastAsiaTheme="minorEastAsia" w:hAnsiTheme="minorHAnsi" w:cstheme="minorHAnsi"/>
                <w:szCs w:val="20"/>
                <w:lang w:val="sq-AL"/>
              </w:rPr>
              <w:t>i</w:t>
            </w:r>
            <w:r w:rsidR="00B260F5" w:rsidRPr="009A66BD">
              <w:rPr>
                <w:rFonts w:asciiTheme="minorHAnsi" w:eastAsiaTheme="minorEastAsia" w:hAnsiTheme="minorHAnsi" w:cstheme="minorHAnsi"/>
                <w:szCs w:val="20"/>
                <w:lang w:val="sq-AL"/>
              </w:rPr>
              <w:t xml:space="preserve"> rajonal brenda strukturave ekzistuese duke emëruar përfaqësuesit e duhur</w:t>
            </w:r>
            <w:r w:rsidR="008070D4">
              <w:rPr>
                <w:rFonts w:asciiTheme="minorHAnsi" w:eastAsiaTheme="minorEastAsia" w:hAnsiTheme="minorHAnsi" w:cstheme="minorHAnsi"/>
                <w:szCs w:val="20"/>
                <w:lang w:val="sq-AL"/>
              </w:rPr>
              <w:t xml:space="preserve"> n</w:t>
            </w:r>
            <w:r w:rsidR="006822F7">
              <w:rPr>
                <w:rFonts w:asciiTheme="minorHAnsi" w:eastAsiaTheme="minorEastAsia" w:hAnsiTheme="minorHAnsi" w:cstheme="minorHAnsi"/>
                <w:szCs w:val="20"/>
                <w:lang w:val="sq-AL"/>
              </w:rPr>
              <w:t>ë</w:t>
            </w:r>
            <w:r w:rsidR="006F03A6">
              <w:rPr>
                <w:rFonts w:asciiTheme="minorHAnsi" w:eastAsiaTheme="minorEastAsia" w:hAnsiTheme="minorHAnsi" w:cstheme="minorHAnsi"/>
                <w:szCs w:val="20"/>
                <w:lang w:val="sq-AL"/>
              </w:rPr>
              <w:t xml:space="preserve"> baza</w:t>
            </w:r>
            <w:r w:rsidR="00B260F5" w:rsidRPr="009A66BD">
              <w:rPr>
                <w:rFonts w:asciiTheme="minorHAnsi" w:eastAsiaTheme="minorEastAsia" w:hAnsiTheme="minorHAnsi" w:cstheme="minorHAnsi"/>
                <w:szCs w:val="20"/>
                <w:lang w:val="sq-AL"/>
              </w:rPr>
              <w:t xml:space="preserve"> rast pas rasti për të përfaqësuar Kosovën * në dialogun rajonal për marrëveshjet e investimeve</w:t>
            </w:r>
            <w:r w:rsidRPr="009A66BD">
              <w:rPr>
                <w:rFonts w:asciiTheme="minorHAnsi" w:eastAsiaTheme="minorEastAsia" w:hAnsiTheme="minorHAnsi" w:cstheme="minorHAnsi"/>
                <w:szCs w:val="20"/>
                <w:lang w:val="sq-AL"/>
              </w:rPr>
              <w:t>.</w:t>
            </w:r>
          </w:p>
        </w:tc>
        <w:tc>
          <w:tcPr>
            <w:tcW w:w="900" w:type="dxa"/>
            <w:tcBorders>
              <w:bottom w:val="single" w:sz="4" w:space="0" w:color="FFFFFF" w:themeColor="background1"/>
            </w:tcBorders>
          </w:tcPr>
          <w:p w14:paraId="4CA000ED" w14:textId="3F6DBA0B" w:rsidR="004847AA" w:rsidRPr="009A66BD" w:rsidRDefault="005978C1"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Në vazhdim e sipër</w:t>
            </w:r>
          </w:p>
        </w:tc>
        <w:tc>
          <w:tcPr>
            <w:tcW w:w="1260" w:type="dxa"/>
            <w:tcBorders>
              <w:bottom w:val="single" w:sz="4" w:space="0" w:color="FFFFFF" w:themeColor="background1"/>
            </w:tcBorders>
          </w:tcPr>
          <w:p w14:paraId="55280BC0" w14:textId="7F96DCD4" w:rsidR="004847AA" w:rsidRPr="009A66BD" w:rsidRDefault="0063032B" w:rsidP="004847AA">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Tregtisë dhe Industrisë</w:t>
            </w:r>
            <w:r w:rsidR="004847AA" w:rsidRPr="009A66BD">
              <w:rPr>
                <w:rFonts w:asciiTheme="minorHAnsi" w:eastAsiaTheme="minorEastAsia" w:hAnsiTheme="minorHAnsi" w:cstheme="minorHAnsi"/>
                <w:lang w:val="sq-AL"/>
              </w:rPr>
              <w:t xml:space="preserve"> </w:t>
            </w:r>
          </w:p>
        </w:tc>
        <w:tc>
          <w:tcPr>
            <w:tcW w:w="1980" w:type="dxa"/>
            <w:tcBorders>
              <w:bottom w:val="single" w:sz="4" w:space="0" w:color="FFFFFF" w:themeColor="background1"/>
            </w:tcBorders>
          </w:tcPr>
          <w:p w14:paraId="31505DB7" w14:textId="7D527FEA" w:rsidR="004847AA" w:rsidRPr="009A66BD" w:rsidRDefault="0017217D" w:rsidP="00811A41">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Emërimet e përfaq</w:t>
            </w:r>
            <w:r w:rsidR="00374E3B">
              <w:rPr>
                <w:rFonts w:asciiTheme="minorHAnsi" w:eastAsiaTheme="minorEastAsia" w:hAnsiTheme="minorHAnsi" w:cstheme="minorHAnsi"/>
                <w:szCs w:val="20"/>
                <w:lang w:val="sq-AL"/>
              </w:rPr>
              <w:t xml:space="preserve">ësuesve në baza rast pas rasti </w:t>
            </w:r>
            <w:r w:rsidRPr="009A66BD">
              <w:rPr>
                <w:rFonts w:asciiTheme="minorHAnsi" w:eastAsiaTheme="minorEastAsia" w:hAnsiTheme="minorHAnsi" w:cstheme="minorHAnsi"/>
                <w:szCs w:val="20"/>
                <w:lang w:val="sq-AL"/>
              </w:rPr>
              <w:t xml:space="preserve">në përputhje me temat e dialogut </w:t>
            </w:r>
            <w:r w:rsidR="00811A41" w:rsidRPr="009A66BD">
              <w:rPr>
                <w:rFonts w:asciiTheme="minorHAnsi" w:eastAsiaTheme="minorEastAsia" w:hAnsiTheme="minorHAnsi" w:cstheme="minorHAnsi"/>
                <w:szCs w:val="20"/>
                <w:lang w:val="sq-AL"/>
              </w:rPr>
              <w:t>të veçantë</w:t>
            </w:r>
            <w:r w:rsidRPr="009A66BD">
              <w:rPr>
                <w:rFonts w:asciiTheme="minorHAnsi" w:eastAsiaTheme="minorEastAsia" w:hAnsiTheme="minorHAnsi" w:cstheme="minorHAnsi"/>
                <w:szCs w:val="20"/>
                <w:lang w:val="sq-AL"/>
              </w:rPr>
              <w:t xml:space="preserve"> rajonal</w:t>
            </w:r>
            <w:r w:rsidR="004847AA" w:rsidRPr="009A66BD">
              <w:rPr>
                <w:rFonts w:asciiTheme="minorHAnsi" w:eastAsiaTheme="minorEastAsia" w:hAnsiTheme="minorHAnsi" w:cstheme="minorHAnsi"/>
                <w:szCs w:val="20"/>
                <w:lang w:val="sq-AL"/>
              </w:rPr>
              <w:t>.</w:t>
            </w:r>
          </w:p>
        </w:tc>
        <w:tc>
          <w:tcPr>
            <w:tcW w:w="1080" w:type="dxa"/>
            <w:tcBorders>
              <w:bottom w:val="single" w:sz="4" w:space="0" w:color="FFFFFF" w:themeColor="background1"/>
            </w:tcBorders>
          </w:tcPr>
          <w:p w14:paraId="7327F23F" w14:textId="2CF64788" w:rsidR="004847AA" w:rsidRPr="009A66BD" w:rsidRDefault="00D23D07" w:rsidP="004847AA">
            <w:pPr>
              <w:spacing w:after="120" w:line="240" w:lineRule="auto"/>
              <w:ind w:firstLine="0"/>
              <w:jc w:val="left"/>
              <w:rPr>
                <w:rFonts w:asciiTheme="minorHAnsi" w:eastAsiaTheme="minorEastAsia" w:hAnsiTheme="minorHAnsi" w:cstheme="minorHAnsi"/>
                <w:lang w:val="sq-AL"/>
              </w:rPr>
            </w:pPr>
            <w:r w:rsidRPr="009A66BD">
              <w:rPr>
                <w:rFonts w:asciiTheme="minorHAnsi" w:hAnsiTheme="minorHAnsi" w:cstheme="minorHAnsi"/>
                <w:sz w:val="18"/>
                <w:lang w:val="sq-AL"/>
              </w:rPr>
              <w:t>KBR</w:t>
            </w:r>
            <w:r w:rsidRPr="009A66BD">
              <w:rPr>
                <w:rFonts w:asciiTheme="minorHAnsi" w:eastAsiaTheme="minorEastAsia" w:hAnsiTheme="minorHAnsi" w:cstheme="minorBidi"/>
                <w:szCs w:val="20"/>
                <w:lang w:val="sq-AL"/>
              </w:rPr>
              <w:t xml:space="preserve">, </w:t>
            </w:r>
            <w:r w:rsidR="008D5E84">
              <w:rPr>
                <w:rFonts w:asciiTheme="minorHAnsi" w:eastAsiaTheme="minorEastAsia" w:hAnsiTheme="minorHAnsi" w:cstheme="minorBidi"/>
                <w:szCs w:val="20"/>
                <w:lang w:val="sq-AL"/>
              </w:rPr>
              <w:t>GBB</w:t>
            </w:r>
            <w:r w:rsidR="00792A30" w:rsidRPr="009A66BD">
              <w:rPr>
                <w:rFonts w:asciiTheme="minorHAnsi" w:eastAsiaTheme="minorEastAsia" w:hAnsiTheme="minorHAnsi" w:cstheme="minorBidi"/>
                <w:szCs w:val="20"/>
                <w:lang w:val="sq-AL"/>
              </w:rPr>
              <w:t xml:space="preserve"> - BP PPI</w:t>
            </w:r>
          </w:p>
        </w:tc>
        <w:tc>
          <w:tcPr>
            <w:tcW w:w="4770" w:type="dxa"/>
          </w:tcPr>
          <w:p w14:paraId="5ADFC945" w14:textId="58F2F5A5" w:rsidR="004847AA" w:rsidRPr="009A66BD" w:rsidRDefault="00C07044" w:rsidP="0068390B">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i/>
                <w:szCs w:val="20"/>
                <w:lang w:val="sq-AL"/>
              </w:rPr>
              <w:t>Dialogu rajonal i orientuar drejt politikave mbi marrëveshjet e investimeve ve</w:t>
            </w:r>
            <w:r w:rsidR="0068390B">
              <w:rPr>
                <w:rFonts w:asciiTheme="minorHAnsi" w:eastAsiaTheme="minorEastAsia" w:hAnsiTheme="minorHAnsi" w:cstheme="minorHAnsi"/>
                <w:i/>
                <w:szCs w:val="20"/>
                <w:lang w:val="sq-AL"/>
              </w:rPr>
              <w:t>ç</w:t>
            </w:r>
            <w:r w:rsidRPr="009A66BD">
              <w:rPr>
                <w:rFonts w:asciiTheme="minorHAnsi" w:eastAsiaTheme="minorEastAsia" w:hAnsiTheme="minorHAnsi" w:cstheme="minorHAnsi"/>
                <w:i/>
                <w:szCs w:val="20"/>
                <w:lang w:val="sq-AL"/>
              </w:rPr>
              <w:t>se ekziston në kuadër të Komitetit të Investimeve të Evropës Juglindore dhe kjo strukturë ekzistuese do të përdoret për qëllimet e kësaj pike të veprimit</w:t>
            </w:r>
            <w:r w:rsidR="004847AA" w:rsidRPr="009A66BD">
              <w:rPr>
                <w:rFonts w:asciiTheme="minorHAnsi" w:eastAsiaTheme="minorEastAsia" w:hAnsiTheme="minorHAnsi" w:cstheme="minorHAnsi"/>
                <w:i/>
                <w:szCs w:val="20"/>
                <w:lang w:val="sq-AL"/>
              </w:rPr>
              <w:t>.</w:t>
            </w:r>
          </w:p>
        </w:tc>
      </w:tr>
      <w:tr w:rsidR="004847AA" w:rsidRPr="009A66BD" w14:paraId="35EABAD2" w14:textId="55B1A26F" w:rsidTr="003B63AB">
        <w:trPr>
          <w:trHeight w:val="288"/>
        </w:trPr>
        <w:tc>
          <w:tcPr>
            <w:tcW w:w="14935" w:type="dxa"/>
            <w:gridSpan w:val="7"/>
          </w:tcPr>
          <w:p w14:paraId="23BE72D7" w14:textId="4190095F" w:rsidR="004847AA" w:rsidRPr="009A66BD" w:rsidRDefault="004847AA" w:rsidP="004847AA">
            <w:pPr>
              <w:spacing w:after="160" w:line="259" w:lineRule="auto"/>
              <w:ind w:firstLine="0"/>
              <w:jc w:val="left"/>
              <w:rPr>
                <w:rFonts w:asciiTheme="minorHAnsi" w:hAnsiTheme="minorHAnsi" w:cstheme="minorHAnsi"/>
                <w:szCs w:val="20"/>
                <w:lang w:val="sq-AL"/>
              </w:rPr>
            </w:pPr>
            <w:r w:rsidRPr="009A66BD">
              <w:rPr>
                <w:rFonts w:asciiTheme="minorHAnsi" w:eastAsiaTheme="minorEastAsia" w:hAnsiTheme="minorHAnsi" w:cstheme="minorHAnsi"/>
                <w:i/>
                <w:iCs/>
                <w:szCs w:val="20"/>
                <w:lang w:val="sq-AL"/>
              </w:rPr>
              <w:t xml:space="preserve">4. </w:t>
            </w:r>
            <w:r w:rsidR="00145114" w:rsidRPr="009A66BD">
              <w:rPr>
                <w:rFonts w:asciiTheme="minorHAnsi" w:eastAsiaTheme="minorEastAsia" w:hAnsiTheme="minorHAnsi" w:cstheme="minorHAnsi"/>
                <w:i/>
                <w:iCs/>
                <w:szCs w:val="20"/>
                <w:lang w:val="sq-AL"/>
              </w:rPr>
              <w:t>Forcimi i mekanizmave të mbajtjes së investimeve në rajon</w:t>
            </w:r>
          </w:p>
        </w:tc>
      </w:tr>
      <w:tr w:rsidR="004847AA" w:rsidRPr="00612497" w14:paraId="68A38CD5" w14:textId="77777777" w:rsidTr="0062412B">
        <w:trPr>
          <w:cnfStyle w:val="000000100000" w:firstRow="0" w:lastRow="0" w:firstColumn="0" w:lastColumn="0" w:oddVBand="0" w:evenVBand="0" w:oddHBand="1" w:evenHBand="0" w:firstRowFirstColumn="0" w:firstRowLastColumn="0" w:lastRowFirstColumn="0" w:lastRowLastColumn="0"/>
          <w:trHeight w:val="1015"/>
        </w:trPr>
        <w:tc>
          <w:tcPr>
            <w:tcW w:w="2425" w:type="dxa"/>
            <w:vMerge w:val="restart"/>
          </w:tcPr>
          <w:p w14:paraId="090DE2B5" w14:textId="47C71176" w:rsidR="004847AA" w:rsidRPr="009A66BD" w:rsidRDefault="004847AA" w:rsidP="004847AA">
            <w:pPr>
              <w:spacing w:after="120" w:line="240" w:lineRule="auto"/>
              <w:ind w:left="520" w:firstLine="0"/>
              <w:jc w:val="left"/>
              <w:rPr>
                <w:rFonts w:asciiTheme="majorHAnsi" w:eastAsiaTheme="minorEastAsia" w:hAnsiTheme="majorHAnsi" w:cstheme="majorHAnsi"/>
                <w:szCs w:val="20"/>
                <w:lang w:val="sq-AL"/>
              </w:rPr>
            </w:pPr>
            <w:bookmarkStart w:id="11" w:name="_Hlk524355475"/>
            <w:r w:rsidRPr="009A66BD">
              <w:rPr>
                <w:rFonts w:asciiTheme="majorHAnsi" w:eastAsiaTheme="minorEastAsia" w:hAnsiTheme="majorHAnsi" w:cstheme="majorHAnsi"/>
                <w:i/>
                <w:iCs/>
                <w:szCs w:val="20"/>
                <w:lang w:val="sq-AL"/>
              </w:rPr>
              <w:lastRenderedPageBreak/>
              <w:t xml:space="preserve">4.1 </w:t>
            </w:r>
            <w:r w:rsidR="00145114" w:rsidRPr="009A66BD">
              <w:rPr>
                <w:rFonts w:asciiTheme="majorHAnsi" w:eastAsiaTheme="minorEastAsia" w:hAnsiTheme="majorHAnsi" w:cstheme="majorHAnsi"/>
                <w:i/>
                <w:iCs/>
                <w:szCs w:val="20"/>
                <w:lang w:val="sq-AL"/>
              </w:rPr>
              <w:t>Përmirësimi krijoi mekanizmat e ankesave të investitorëve në ekonomitë e interesuara, duke marrë parasysh nivelet e ndryshme të zhvillimit dhe mbështetjen e nevojshme për ndërtimin e kapaciteteve.</w:t>
            </w:r>
          </w:p>
        </w:tc>
        <w:tc>
          <w:tcPr>
            <w:tcW w:w="2520" w:type="dxa"/>
          </w:tcPr>
          <w:p w14:paraId="74BEFA1D" w14:textId="0CE4A738" w:rsidR="004847AA" w:rsidRPr="009A66BD" w:rsidRDefault="004847AA" w:rsidP="0068390B">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szCs w:val="20"/>
                <w:lang w:val="sq-AL"/>
              </w:rPr>
              <w:t xml:space="preserve">4.1.1. </w:t>
            </w:r>
            <w:r w:rsidR="00411604" w:rsidRPr="009A66BD">
              <w:rPr>
                <w:rFonts w:asciiTheme="minorHAnsi" w:eastAsiaTheme="minorEastAsia" w:hAnsiTheme="minorHAnsi" w:cstheme="minorHAnsi"/>
                <w:szCs w:val="20"/>
                <w:lang w:val="sq-AL"/>
              </w:rPr>
              <w:t>Kryerja e diagnostikimit për menaxhimin e ankesave të investitorëve në Kosovë *</w:t>
            </w:r>
          </w:p>
        </w:tc>
        <w:tc>
          <w:tcPr>
            <w:tcW w:w="900" w:type="dxa"/>
          </w:tcPr>
          <w:p w14:paraId="34183DBE" w14:textId="24FA5A53" w:rsidR="004847AA" w:rsidRPr="009A66BD" w:rsidRDefault="0006464E"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p>
          <w:p w14:paraId="5D8E2BDC" w14:textId="0A485BF9" w:rsidR="004847AA" w:rsidRPr="009A66BD" w:rsidRDefault="004847AA" w:rsidP="004847AA">
            <w:pPr>
              <w:spacing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2019</w:t>
            </w:r>
          </w:p>
        </w:tc>
        <w:tc>
          <w:tcPr>
            <w:tcW w:w="1260" w:type="dxa"/>
          </w:tcPr>
          <w:p w14:paraId="33267766" w14:textId="14C4B390" w:rsidR="004847AA" w:rsidRPr="009A66BD" w:rsidRDefault="005B2877"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3235848B" w14:textId="6D487C45" w:rsidR="004847AA" w:rsidRPr="009A66BD" w:rsidRDefault="00411604"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Një raport </w:t>
            </w:r>
            <w:proofErr w:type="spellStart"/>
            <w:r w:rsidRPr="009A66BD">
              <w:rPr>
                <w:rFonts w:asciiTheme="minorHAnsi" w:eastAsiaTheme="minorEastAsia" w:hAnsiTheme="minorHAnsi" w:cstheme="minorHAnsi"/>
                <w:szCs w:val="20"/>
                <w:lang w:val="sq-AL"/>
              </w:rPr>
              <w:t>diagnostik</w:t>
            </w:r>
            <w:proofErr w:type="spellEnd"/>
            <w:r w:rsidRPr="009A66BD">
              <w:rPr>
                <w:rFonts w:asciiTheme="minorHAnsi" w:eastAsiaTheme="minorEastAsia" w:hAnsiTheme="minorHAnsi" w:cstheme="minorHAnsi"/>
                <w:szCs w:val="20"/>
                <w:lang w:val="sq-AL"/>
              </w:rPr>
              <w:t xml:space="preserve"> mbi menaxhimin e ankesave në Kosovë *, duke përfshirë rekomandimet për hartimin e një mekanizmi të ankesave.</w:t>
            </w:r>
          </w:p>
        </w:tc>
        <w:tc>
          <w:tcPr>
            <w:tcW w:w="1080" w:type="dxa"/>
          </w:tcPr>
          <w:p w14:paraId="4A2A985F" w14:textId="7A85F528" w:rsidR="004847AA" w:rsidRPr="009A66BD" w:rsidRDefault="008D5E84" w:rsidP="00792A30">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9A66BD">
              <w:rPr>
                <w:rFonts w:asciiTheme="minorHAnsi" w:eastAsiaTheme="minorEastAsia" w:hAnsiTheme="minorHAnsi" w:cstheme="minorBidi"/>
                <w:szCs w:val="20"/>
                <w:lang w:val="sq-AL"/>
              </w:rPr>
              <w:t xml:space="preserve"> - BP PPI</w:t>
            </w:r>
            <w:r w:rsidR="00792A30" w:rsidRPr="009A66BD">
              <w:rPr>
                <w:rFonts w:asciiTheme="minorHAnsi" w:eastAsiaTheme="minorEastAsia" w:hAnsiTheme="minorHAnsi" w:cstheme="minorHAnsi"/>
                <w:szCs w:val="20"/>
                <w:lang w:val="sq-AL"/>
              </w:rPr>
              <w:t xml:space="preserve"> </w:t>
            </w:r>
            <w:r w:rsidR="004847AA" w:rsidRPr="009A66BD">
              <w:rPr>
                <w:rFonts w:asciiTheme="minorHAnsi" w:eastAsiaTheme="minorEastAsia" w:hAnsiTheme="minorHAnsi" w:cstheme="minorHAnsi"/>
                <w:szCs w:val="20"/>
                <w:lang w:val="sq-AL"/>
              </w:rPr>
              <w:t xml:space="preserve">/ </w:t>
            </w:r>
            <w:r w:rsidR="00792A30" w:rsidRPr="009A66BD">
              <w:rPr>
                <w:rFonts w:asciiTheme="minorHAnsi" w:eastAsiaTheme="minorEastAsia" w:hAnsiTheme="minorHAnsi" w:cstheme="minorHAnsi"/>
                <w:szCs w:val="20"/>
                <w:lang w:val="sq-AL"/>
              </w:rPr>
              <w:t>BERZH</w:t>
            </w:r>
          </w:p>
        </w:tc>
        <w:tc>
          <w:tcPr>
            <w:tcW w:w="4770" w:type="dxa"/>
          </w:tcPr>
          <w:p w14:paraId="3611EC50" w14:textId="7172B12E" w:rsidR="004847AA" w:rsidRPr="009A66BD" w:rsidRDefault="00411604" w:rsidP="0068390B">
            <w:pPr>
              <w:spacing w:after="120" w:line="240" w:lineRule="auto"/>
              <w:ind w:firstLine="0"/>
              <w:jc w:val="left"/>
              <w:rPr>
                <w:rFonts w:asciiTheme="minorHAnsi" w:hAnsiTheme="minorHAnsi" w:cstheme="minorHAnsi"/>
                <w:lang w:val="sq-AL"/>
              </w:rPr>
            </w:pPr>
            <w:r w:rsidRPr="009A66BD">
              <w:rPr>
                <w:rFonts w:asciiTheme="minorHAnsi" w:eastAsia="SimSun" w:hAnsiTheme="minorHAnsi" w:cstheme="minorHAnsi"/>
                <w:i/>
                <w:szCs w:val="20"/>
                <w:lang w:val="sq-AL" w:eastAsia="zh-CN"/>
              </w:rPr>
              <w:t xml:space="preserve">Fushëveprimi i </w:t>
            </w:r>
            <w:r w:rsidR="0068390B">
              <w:rPr>
                <w:rFonts w:asciiTheme="minorHAnsi" w:eastAsia="SimSun" w:hAnsiTheme="minorHAnsi" w:cstheme="minorHAnsi"/>
                <w:i/>
                <w:szCs w:val="20"/>
                <w:lang w:val="sq-AL" w:eastAsia="zh-CN"/>
              </w:rPr>
              <w:t xml:space="preserve">diagnostikimit </w:t>
            </w:r>
            <w:r w:rsidRPr="009A66BD">
              <w:rPr>
                <w:rFonts w:asciiTheme="minorHAnsi" w:eastAsia="SimSun" w:hAnsiTheme="minorHAnsi" w:cstheme="minorHAnsi"/>
                <w:i/>
                <w:szCs w:val="20"/>
                <w:lang w:val="sq-AL" w:eastAsia="zh-CN"/>
              </w:rPr>
              <w:t>është përshkruar në Shtojcë.</w:t>
            </w:r>
          </w:p>
        </w:tc>
      </w:tr>
      <w:tr w:rsidR="004847AA" w:rsidRPr="009A66BD" w14:paraId="4D08AC7C" w14:textId="77777777" w:rsidTr="0062412B">
        <w:trPr>
          <w:trHeight w:val="1015"/>
        </w:trPr>
        <w:tc>
          <w:tcPr>
            <w:tcW w:w="2425" w:type="dxa"/>
            <w:vMerge/>
          </w:tcPr>
          <w:p w14:paraId="503C4C42" w14:textId="77777777" w:rsidR="004847AA" w:rsidRPr="009A66BD" w:rsidRDefault="004847AA" w:rsidP="004847AA">
            <w:pPr>
              <w:spacing w:after="120" w:line="240" w:lineRule="auto"/>
              <w:ind w:left="520" w:firstLine="0"/>
              <w:jc w:val="left"/>
              <w:rPr>
                <w:rFonts w:asciiTheme="minorHAnsi" w:eastAsiaTheme="minorEastAsia" w:hAnsiTheme="minorHAnsi" w:cstheme="minorHAnsi"/>
                <w:i/>
                <w:iCs/>
                <w:szCs w:val="20"/>
                <w:lang w:val="sq-AL"/>
              </w:rPr>
            </w:pPr>
          </w:p>
        </w:tc>
        <w:tc>
          <w:tcPr>
            <w:tcW w:w="2520" w:type="dxa"/>
          </w:tcPr>
          <w:p w14:paraId="34466102" w14:textId="252824FD" w:rsidR="004847AA" w:rsidRPr="009A66BD" w:rsidRDefault="004847AA"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4.1.2. </w:t>
            </w:r>
            <w:r w:rsidR="007F0C2B" w:rsidRPr="009A66BD">
              <w:rPr>
                <w:rFonts w:asciiTheme="minorHAnsi" w:eastAsiaTheme="minorEastAsia" w:hAnsiTheme="minorHAnsi" w:cstheme="minorHAnsi"/>
                <w:szCs w:val="20"/>
                <w:lang w:val="sq-AL"/>
              </w:rPr>
              <w:t>Hartimi dhe zbatimi i një strukture të përshtatshme institucionale për menaxhimin e ankesave.</w:t>
            </w:r>
          </w:p>
        </w:tc>
        <w:tc>
          <w:tcPr>
            <w:tcW w:w="900" w:type="dxa"/>
          </w:tcPr>
          <w:p w14:paraId="0B046C30" w14:textId="21C23ED4" w:rsidR="004847AA" w:rsidRPr="009A66BD" w:rsidRDefault="0006464E"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Dhjetor</w:t>
            </w:r>
            <w:r w:rsidR="004847AA" w:rsidRPr="009A66BD">
              <w:rPr>
                <w:rFonts w:asciiTheme="minorHAnsi" w:eastAsiaTheme="minorEastAsia" w:hAnsiTheme="minorHAnsi" w:cstheme="minorHAnsi"/>
                <w:szCs w:val="20"/>
                <w:lang w:val="sq-AL"/>
              </w:rPr>
              <w:t>2019</w:t>
            </w:r>
          </w:p>
        </w:tc>
        <w:tc>
          <w:tcPr>
            <w:tcW w:w="1260" w:type="dxa"/>
          </w:tcPr>
          <w:p w14:paraId="43B7147A" w14:textId="1FBAD8D3" w:rsidR="004847AA" w:rsidRPr="009A66BD" w:rsidRDefault="005B2877" w:rsidP="004847AA">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6DA5E4B0" w14:textId="04800151" w:rsidR="004847AA" w:rsidRPr="009A66BD" w:rsidRDefault="00B84D2D" w:rsidP="004847AA">
            <w:pPr>
              <w:spacing w:after="120" w:line="240" w:lineRule="auto"/>
              <w:ind w:firstLine="0"/>
              <w:jc w:val="left"/>
              <w:rPr>
                <w:rFonts w:asciiTheme="minorHAnsi" w:eastAsiaTheme="minorEastAsia" w:hAnsiTheme="minorHAnsi" w:cstheme="minorBidi"/>
                <w:szCs w:val="20"/>
                <w:lang w:val="sq-AL"/>
              </w:rPr>
            </w:pPr>
            <w:r w:rsidRPr="009A66BD">
              <w:rPr>
                <w:rFonts w:asciiTheme="minorHAnsi" w:eastAsiaTheme="minorEastAsia" w:hAnsiTheme="minorHAnsi" w:cstheme="minorBidi"/>
                <w:szCs w:val="20"/>
                <w:lang w:val="sq-AL"/>
              </w:rPr>
              <w:t xml:space="preserve">Hartimi i një mekanizmi të ankesave, bazuar në raportin </w:t>
            </w:r>
            <w:proofErr w:type="spellStart"/>
            <w:r w:rsidRPr="009A66BD">
              <w:rPr>
                <w:rFonts w:asciiTheme="minorHAnsi" w:eastAsiaTheme="minorEastAsia" w:hAnsiTheme="minorHAnsi" w:cstheme="minorBidi"/>
                <w:szCs w:val="20"/>
                <w:lang w:val="sq-AL"/>
              </w:rPr>
              <w:t>diagnostik</w:t>
            </w:r>
            <w:proofErr w:type="spellEnd"/>
            <w:r w:rsidRPr="009A66BD">
              <w:rPr>
                <w:rFonts w:asciiTheme="minorHAnsi" w:eastAsiaTheme="minorEastAsia" w:hAnsiTheme="minorHAnsi" w:cstheme="minorBidi"/>
                <w:szCs w:val="20"/>
                <w:lang w:val="sq-AL"/>
              </w:rPr>
              <w:t xml:space="preserve"> të </w:t>
            </w:r>
            <w:r w:rsidR="0068390B">
              <w:rPr>
                <w:rFonts w:asciiTheme="minorHAnsi" w:eastAsiaTheme="minorEastAsia" w:hAnsiTheme="minorHAnsi" w:cstheme="minorBidi"/>
                <w:szCs w:val="20"/>
                <w:lang w:val="sq-AL"/>
              </w:rPr>
              <w:t>Veprimit t</w:t>
            </w:r>
            <w:r w:rsidR="006822F7">
              <w:rPr>
                <w:rFonts w:asciiTheme="minorHAnsi" w:eastAsiaTheme="minorEastAsia" w:hAnsiTheme="minorHAnsi" w:cstheme="minorBidi"/>
                <w:szCs w:val="20"/>
                <w:lang w:val="sq-AL"/>
              </w:rPr>
              <w:t>ë</w:t>
            </w:r>
            <w:r w:rsidR="0068390B">
              <w:rPr>
                <w:rFonts w:asciiTheme="minorHAnsi" w:eastAsiaTheme="minorEastAsia" w:hAnsiTheme="minorHAnsi" w:cstheme="minorBidi"/>
                <w:szCs w:val="20"/>
                <w:lang w:val="sq-AL"/>
              </w:rPr>
              <w:t xml:space="preserve"> Reform</w:t>
            </w:r>
            <w:r w:rsidR="006822F7">
              <w:rPr>
                <w:rFonts w:asciiTheme="minorHAnsi" w:eastAsiaTheme="minorEastAsia" w:hAnsiTheme="minorHAnsi" w:cstheme="minorBidi"/>
                <w:szCs w:val="20"/>
                <w:lang w:val="sq-AL"/>
              </w:rPr>
              <w:t>ë</w:t>
            </w:r>
            <w:r w:rsidR="0068390B">
              <w:rPr>
                <w:rFonts w:asciiTheme="minorHAnsi" w:eastAsiaTheme="minorEastAsia" w:hAnsiTheme="minorHAnsi" w:cstheme="minorBidi"/>
                <w:szCs w:val="20"/>
                <w:lang w:val="sq-AL"/>
              </w:rPr>
              <w:t xml:space="preserve">s </w:t>
            </w:r>
            <w:r w:rsidRPr="009A66BD">
              <w:rPr>
                <w:rFonts w:asciiTheme="minorHAnsi" w:eastAsiaTheme="minorEastAsia" w:hAnsiTheme="minorHAnsi" w:cstheme="minorBidi"/>
                <w:szCs w:val="20"/>
                <w:lang w:val="sq-AL"/>
              </w:rPr>
              <w:t xml:space="preserve"> 4.1.1.  dhe të </w:t>
            </w:r>
            <w:proofErr w:type="spellStart"/>
            <w:r w:rsidRPr="009A66BD">
              <w:rPr>
                <w:rFonts w:asciiTheme="minorHAnsi" w:eastAsiaTheme="minorEastAsia" w:hAnsiTheme="minorHAnsi" w:cstheme="minorBidi"/>
                <w:szCs w:val="20"/>
                <w:lang w:val="sq-AL"/>
              </w:rPr>
              <w:t>validuar</w:t>
            </w:r>
            <w:proofErr w:type="spellEnd"/>
            <w:r w:rsidRPr="009A66BD">
              <w:rPr>
                <w:rFonts w:asciiTheme="minorHAnsi" w:eastAsiaTheme="minorEastAsia" w:hAnsiTheme="minorHAnsi" w:cstheme="minorBidi"/>
                <w:szCs w:val="20"/>
                <w:lang w:val="sq-AL"/>
              </w:rPr>
              <w:t xml:space="preserve"> përmes konsultimeve të sektorit publik dhe privat</w:t>
            </w:r>
            <w:r w:rsidR="004847AA" w:rsidRPr="009A66BD">
              <w:rPr>
                <w:rFonts w:asciiTheme="minorHAnsi" w:eastAsiaTheme="minorEastAsia" w:hAnsiTheme="minorHAnsi" w:cstheme="minorBidi"/>
                <w:szCs w:val="20"/>
                <w:lang w:val="sq-AL"/>
              </w:rPr>
              <w:t>.</w:t>
            </w:r>
          </w:p>
          <w:p w14:paraId="10433903" w14:textId="6A747FDE" w:rsidR="004847AA" w:rsidRPr="009A66BD" w:rsidRDefault="008418A3" w:rsidP="004847AA">
            <w:pPr>
              <w:spacing w:after="120" w:line="240" w:lineRule="auto"/>
              <w:ind w:firstLine="0"/>
              <w:jc w:val="left"/>
              <w:rPr>
                <w:rFonts w:asciiTheme="minorHAnsi" w:eastAsiaTheme="minorEastAsia" w:hAnsiTheme="minorHAnsi" w:cstheme="minorBidi"/>
                <w:szCs w:val="20"/>
                <w:lang w:val="sq-AL"/>
              </w:rPr>
            </w:pPr>
            <w:r w:rsidRPr="009A66BD">
              <w:rPr>
                <w:rFonts w:asciiTheme="minorHAnsi" w:eastAsiaTheme="minorEastAsia" w:hAnsiTheme="minorHAnsi" w:cstheme="minorBidi"/>
                <w:szCs w:val="20"/>
                <w:lang w:val="sq-AL"/>
              </w:rPr>
              <w:t xml:space="preserve">Një doracak operativ dhe udhëzime </w:t>
            </w:r>
            <w:proofErr w:type="spellStart"/>
            <w:r w:rsidRPr="009A66BD">
              <w:rPr>
                <w:rFonts w:asciiTheme="minorHAnsi" w:eastAsiaTheme="minorEastAsia" w:hAnsiTheme="minorHAnsi" w:cstheme="minorBidi"/>
                <w:szCs w:val="20"/>
                <w:lang w:val="sq-AL"/>
              </w:rPr>
              <w:t>opera</w:t>
            </w:r>
            <w:r w:rsidR="0068390B">
              <w:rPr>
                <w:rFonts w:asciiTheme="minorHAnsi" w:eastAsiaTheme="minorEastAsia" w:hAnsiTheme="minorHAnsi" w:cstheme="minorBidi"/>
                <w:szCs w:val="20"/>
                <w:lang w:val="sq-AL"/>
              </w:rPr>
              <w:t>cionale</w:t>
            </w:r>
            <w:proofErr w:type="spellEnd"/>
            <w:r w:rsidR="0068390B">
              <w:rPr>
                <w:rFonts w:asciiTheme="minorHAnsi" w:eastAsiaTheme="minorEastAsia" w:hAnsiTheme="minorHAnsi" w:cstheme="minorBidi"/>
                <w:szCs w:val="20"/>
                <w:lang w:val="sq-AL"/>
              </w:rPr>
              <w:t xml:space="preserve"> </w:t>
            </w:r>
            <w:r w:rsidRPr="009A66BD">
              <w:rPr>
                <w:rFonts w:asciiTheme="minorHAnsi" w:eastAsiaTheme="minorEastAsia" w:hAnsiTheme="minorHAnsi" w:cstheme="minorBidi"/>
                <w:szCs w:val="20"/>
                <w:lang w:val="sq-AL"/>
              </w:rPr>
              <w:t>për mekanizmin e ankesave</w:t>
            </w:r>
            <w:r w:rsidR="004847AA" w:rsidRPr="009A66BD">
              <w:rPr>
                <w:rFonts w:asciiTheme="minorHAnsi" w:eastAsiaTheme="minorEastAsia" w:hAnsiTheme="minorHAnsi" w:cstheme="minorBidi"/>
                <w:szCs w:val="20"/>
                <w:lang w:val="sq-AL"/>
              </w:rPr>
              <w:t>.</w:t>
            </w:r>
          </w:p>
          <w:p w14:paraId="7DEEF257" w14:textId="5CFE66F9" w:rsidR="004847AA" w:rsidRPr="009A66BD" w:rsidRDefault="009808A0" w:rsidP="004847AA">
            <w:pPr>
              <w:spacing w:after="120" w:line="240" w:lineRule="auto"/>
              <w:ind w:firstLine="0"/>
              <w:jc w:val="left"/>
              <w:rPr>
                <w:rFonts w:asciiTheme="minorHAnsi" w:eastAsiaTheme="minorEastAsia" w:hAnsiTheme="minorHAnsi" w:cstheme="minorBidi"/>
                <w:szCs w:val="20"/>
                <w:lang w:val="sq-AL"/>
              </w:rPr>
            </w:pPr>
            <w:r w:rsidRPr="009A66BD">
              <w:rPr>
                <w:rFonts w:asciiTheme="minorHAnsi" w:eastAsiaTheme="minorEastAsia" w:hAnsiTheme="minorHAnsi" w:cstheme="minorBidi"/>
                <w:szCs w:val="20"/>
                <w:lang w:val="sq-AL"/>
              </w:rPr>
              <w:t xml:space="preserve">Zbatimi i mekanizmit të ankesave, duke përfshirë reformat </w:t>
            </w:r>
            <w:proofErr w:type="spellStart"/>
            <w:r w:rsidRPr="009A66BD">
              <w:rPr>
                <w:rFonts w:asciiTheme="minorHAnsi" w:eastAsiaTheme="minorEastAsia" w:hAnsiTheme="minorHAnsi" w:cstheme="minorBidi"/>
                <w:szCs w:val="20"/>
                <w:lang w:val="sq-AL"/>
              </w:rPr>
              <w:t>rregullative</w:t>
            </w:r>
            <w:proofErr w:type="spellEnd"/>
            <w:r w:rsidRPr="009A66BD">
              <w:rPr>
                <w:rFonts w:asciiTheme="minorHAnsi" w:eastAsiaTheme="minorEastAsia" w:hAnsiTheme="minorHAnsi" w:cstheme="minorBidi"/>
                <w:szCs w:val="20"/>
                <w:lang w:val="sq-AL"/>
              </w:rPr>
              <w:t xml:space="preserve"> (nëse është e nevojshme</w:t>
            </w:r>
            <w:r w:rsidR="004847AA" w:rsidRPr="009A66BD">
              <w:rPr>
                <w:rFonts w:asciiTheme="minorHAnsi" w:eastAsiaTheme="minorEastAsia" w:hAnsiTheme="minorHAnsi" w:cstheme="minorBidi"/>
                <w:szCs w:val="20"/>
                <w:lang w:val="sq-AL"/>
              </w:rPr>
              <w:t>).</w:t>
            </w:r>
          </w:p>
          <w:p w14:paraId="61995825" w14:textId="5BF7A389" w:rsidR="004847AA" w:rsidRPr="009A66BD" w:rsidRDefault="00962EB8" w:rsidP="00962EB8">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Informacioni mbi mekanizmin e ankesave shpërndahet dhe </w:t>
            </w:r>
            <w:r w:rsidRPr="009A66BD">
              <w:rPr>
                <w:rFonts w:asciiTheme="minorHAnsi" w:eastAsiaTheme="minorEastAsia" w:hAnsiTheme="minorHAnsi" w:cstheme="minorBidi"/>
                <w:szCs w:val="20"/>
                <w:lang w:val="sq-AL"/>
              </w:rPr>
              <w:lastRenderedPageBreak/>
              <w:t>ndahet me sektorin privat dhe agjencitë publike federale dhe nën</w:t>
            </w:r>
            <w:r w:rsidR="00687492">
              <w:rPr>
                <w:rFonts w:asciiTheme="minorHAnsi" w:eastAsiaTheme="minorEastAsia" w:hAnsiTheme="minorHAnsi" w:cstheme="minorBidi"/>
                <w:szCs w:val="20"/>
                <w:lang w:val="sq-AL"/>
              </w:rPr>
              <w:t>-</w:t>
            </w:r>
            <w:r w:rsidRPr="009A66BD">
              <w:rPr>
                <w:rFonts w:asciiTheme="minorHAnsi" w:eastAsiaTheme="minorEastAsia" w:hAnsiTheme="minorHAnsi" w:cstheme="minorBidi"/>
                <w:szCs w:val="20"/>
                <w:lang w:val="sq-AL"/>
              </w:rPr>
              <w:t>kombëtare</w:t>
            </w:r>
            <w:r w:rsidR="004847AA" w:rsidRPr="009A66BD">
              <w:rPr>
                <w:rFonts w:asciiTheme="minorHAnsi" w:eastAsiaTheme="minorEastAsia" w:hAnsiTheme="minorHAnsi" w:cstheme="minorBidi"/>
                <w:szCs w:val="20"/>
                <w:lang w:val="sq-AL"/>
              </w:rPr>
              <w:t>.</w:t>
            </w:r>
          </w:p>
        </w:tc>
        <w:tc>
          <w:tcPr>
            <w:tcW w:w="1080" w:type="dxa"/>
          </w:tcPr>
          <w:p w14:paraId="52D77CC0" w14:textId="2350C965" w:rsidR="004847AA" w:rsidRPr="009A66BD"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lastRenderedPageBreak/>
              <w:t>GBB</w:t>
            </w:r>
            <w:r w:rsidR="00792A30" w:rsidRPr="009A66BD">
              <w:rPr>
                <w:rFonts w:asciiTheme="minorHAnsi" w:eastAsiaTheme="minorEastAsia" w:hAnsiTheme="minorHAnsi" w:cstheme="minorBidi"/>
                <w:szCs w:val="20"/>
                <w:lang w:val="sq-AL"/>
              </w:rPr>
              <w:t xml:space="preserve"> - BP PPI</w:t>
            </w:r>
            <w:r w:rsidR="00792A30" w:rsidRPr="009A66BD">
              <w:rPr>
                <w:rFonts w:asciiTheme="minorHAnsi" w:eastAsiaTheme="minorEastAsia" w:hAnsiTheme="minorHAnsi" w:cstheme="minorHAnsi"/>
                <w:szCs w:val="20"/>
                <w:lang w:val="sq-AL"/>
              </w:rPr>
              <w:t xml:space="preserve"> / BERZH</w:t>
            </w:r>
          </w:p>
        </w:tc>
        <w:tc>
          <w:tcPr>
            <w:tcW w:w="4770" w:type="dxa"/>
          </w:tcPr>
          <w:p w14:paraId="2FD9AE83" w14:textId="77777777" w:rsidR="004847AA" w:rsidRPr="009A66BD" w:rsidRDefault="004847AA" w:rsidP="004847AA">
            <w:pPr>
              <w:spacing w:after="120" w:line="240" w:lineRule="auto"/>
              <w:ind w:firstLine="0"/>
              <w:jc w:val="left"/>
              <w:rPr>
                <w:rFonts w:asciiTheme="minorHAnsi" w:eastAsiaTheme="minorEastAsia" w:hAnsiTheme="minorHAnsi" w:cstheme="minorHAnsi"/>
                <w:szCs w:val="20"/>
                <w:lang w:val="sq-AL"/>
              </w:rPr>
            </w:pPr>
          </w:p>
        </w:tc>
      </w:tr>
      <w:tr w:rsidR="004847AA" w:rsidRPr="00612497" w14:paraId="7A94BAF7" w14:textId="77777777" w:rsidTr="0062412B">
        <w:trPr>
          <w:cnfStyle w:val="000000100000" w:firstRow="0" w:lastRow="0" w:firstColumn="0" w:lastColumn="0" w:oddVBand="0" w:evenVBand="0" w:oddHBand="1" w:evenHBand="0" w:firstRowFirstColumn="0" w:firstRowLastColumn="0" w:lastRowFirstColumn="0" w:lastRowLastColumn="0"/>
          <w:trHeight w:val="1015"/>
        </w:trPr>
        <w:tc>
          <w:tcPr>
            <w:tcW w:w="2425" w:type="dxa"/>
            <w:vMerge/>
          </w:tcPr>
          <w:p w14:paraId="6D1EBF4C" w14:textId="77777777" w:rsidR="004847AA" w:rsidRPr="009A66BD" w:rsidRDefault="004847AA" w:rsidP="004847AA">
            <w:pPr>
              <w:spacing w:after="120" w:line="240" w:lineRule="auto"/>
              <w:ind w:left="520" w:firstLine="0"/>
              <w:jc w:val="left"/>
              <w:rPr>
                <w:rFonts w:asciiTheme="minorHAnsi" w:eastAsiaTheme="minorEastAsia" w:hAnsiTheme="minorHAnsi" w:cstheme="minorHAnsi"/>
                <w:i/>
                <w:iCs/>
                <w:szCs w:val="20"/>
                <w:lang w:val="sq-AL"/>
              </w:rPr>
            </w:pPr>
          </w:p>
        </w:tc>
        <w:tc>
          <w:tcPr>
            <w:tcW w:w="2520" w:type="dxa"/>
          </w:tcPr>
          <w:p w14:paraId="4F9DB85A" w14:textId="50E0F808" w:rsidR="004847AA" w:rsidRPr="001477FC" w:rsidRDefault="004847AA" w:rsidP="001477FC">
            <w:pPr>
              <w:spacing w:after="120" w:line="240" w:lineRule="auto"/>
              <w:ind w:firstLine="0"/>
              <w:jc w:val="left"/>
              <w:rPr>
                <w:rFonts w:asciiTheme="minorHAnsi" w:eastAsiaTheme="minorEastAsia" w:hAnsiTheme="minorHAnsi" w:cstheme="minorHAnsi"/>
                <w:szCs w:val="20"/>
                <w:lang w:val="sq-AL"/>
              </w:rPr>
            </w:pPr>
            <w:r w:rsidRPr="001477FC">
              <w:rPr>
                <w:rFonts w:asciiTheme="minorHAnsi" w:eastAsiaTheme="minorEastAsia" w:hAnsiTheme="minorHAnsi" w:cstheme="minorHAnsi"/>
                <w:szCs w:val="20"/>
                <w:lang w:val="sq-AL"/>
              </w:rPr>
              <w:t xml:space="preserve">4.1.3. </w:t>
            </w:r>
            <w:r w:rsidR="00347F12" w:rsidRPr="001477FC">
              <w:rPr>
                <w:rFonts w:asciiTheme="minorHAnsi" w:eastAsiaTheme="minorEastAsia" w:hAnsiTheme="minorHAnsi" w:cstheme="minorHAnsi"/>
                <w:szCs w:val="20"/>
                <w:lang w:val="sq-AL"/>
              </w:rPr>
              <w:t xml:space="preserve">Hartimi dhe zbatimi i një mjeti </w:t>
            </w:r>
            <w:r w:rsidR="001477FC" w:rsidRPr="001477FC">
              <w:rPr>
                <w:rFonts w:asciiTheme="minorHAnsi" w:eastAsiaTheme="minorEastAsia" w:hAnsiTheme="minorHAnsi" w:cstheme="minorHAnsi"/>
                <w:szCs w:val="20"/>
                <w:lang w:val="sq-AL"/>
              </w:rPr>
              <w:t>ndjek</w:t>
            </w:r>
            <w:r w:rsidR="006822F7">
              <w:rPr>
                <w:rFonts w:asciiTheme="minorHAnsi" w:eastAsiaTheme="minorEastAsia" w:hAnsiTheme="minorHAnsi" w:cstheme="minorHAnsi"/>
                <w:szCs w:val="20"/>
                <w:lang w:val="sq-AL"/>
              </w:rPr>
              <w:t>ë</w:t>
            </w:r>
            <w:r w:rsidR="001477FC" w:rsidRPr="001477FC">
              <w:rPr>
                <w:rFonts w:asciiTheme="minorHAnsi" w:eastAsiaTheme="minorEastAsia" w:hAnsiTheme="minorHAnsi" w:cstheme="minorHAnsi"/>
                <w:szCs w:val="20"/>
                <w:lang w:val="sq-AL"/>
              </w:rPr>
              <w:t>s</w:t>
            </w:r>
            <w:r w:rsidR="002904C5" w:rsidRPr="001477FC">
              <w:rPr>
                <w:rFonts w:asciiTheme="minorHAnsi" w:eastAsiaTheme="minorEastAsia" w:hAnsiTheme="minorHAnsi" w:cstheme="minorHAnsi"/>
                <w:szCs w:val="20"/>
                <w:lang w:val="sq-AL"/>
              </w:rPr>
              <w:t xml:space="preserve">/gjurmues </w:t>
            </w:r>
            <w:r w:rsidR="00347F12" w:rsidRPr="001477FC">
              <w:rPr>
                <w:rFonts w:asciiTheme="minorHAnsi" w:eastAsiaTheme="minorEastAsia" w:hAnsiTheme="minorHAnsi" w:cstheme="minorHAnsi"/>
                <w:szCs w:val="20"/>
                <w:lang w:val="sq-AL"/>
              </w:rPr>
              <w:t xml:space="preserve"> për të </w:t>
            </w:r>
            <w:r w:rsidR="001477FC" w:rsidRPr="001477FC">
              <w:rPr>
                <w:rFonts w:asciiTheme="minorHAnsi" w:eastAsiaTheme="minorEastAsia" w:hAnsiTheme="minorHAnsi" w:cstheme="minorHAnsi"/>
                <w:szCs w:val="20"/>
                <w:lang w:val="sq-AL"/>
              </w:rPr>
              <w:t xml:space="preserve">gjurmuar </w:t>
            </w:r>
            <w:r w:rsidR="00347F12" w:rsidRPr="001477FC">
              <w:rPr>
                <w:rFonts w:asciiTheme="minorHAnsi" w:eastAsiaTheme="minorEastAsia" w:hAnsiTheme="minorHAnsi" w:cstheme="minorHAnsi"/>
                <w:szCs w:val="20"/>
                <w:lang w:val="sq-AL"/>
              </w:rPr>
              <w:t xml:space="preserve">ankesat e investitorëve, </w:t>
            </w:r>
            <w:r w:rsidR="002904C5" w:rsidRPr="001477FC">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2904C5" w:rsidRPr="001477FC">
              <w:rPr>
                <w:rFonts w:asciiTheme="minorHAnsi" w:eastAsiaTheme="minorEastAsia" w:hAnsiTheme="minorHAnsi" w:cstheme="minorHAnsi"/>
                <w:szCs w:val="20"/>
                <w:lang w:val="sq-AL"/>
              </w:rPr>
              <w:t xml:space="preserve"> ndikuara nga </w:t>
            </w:r>
            <w:r w:rsidR="00347F12" w:rsidRPr="001477FC">
              <w:rPr>
                <w:rFonts w:asciiTheme="minorHAnsi" w:eastAsiaTheme="minorEastAsia" w:hAnsiTheme="minorHAnsi" w:cstheme="minorHAnsi"/>
                <w:szCs w:val="20"/>
                <w:lang w:val="sq-AL"/>
              </w:rPr>
              <w:t xml:space="preserve">investimet dhe informacionet e </w:t>
            </w:r>
            <w:r w:rsidR="002904C5" w:rsidRPr="001477FC">
              <w:rPr>
                <w:rFonts w:asciiTheme="minorHAnsi" w:eastAsiaTheme="minorEastAsia" w:hAnsiTheme="minorHAnsi" w:cstheme="minorHAnsi"/>
                <w:szCs w:val="20"/>
                <w:lang w:val="sq-AL"/>
              </w:rPr>
              <w:t>nd</w:t>
            </w:r>
            <w:r w:rsidR="006822F7">
              <w:rPr>
                <w:rFonts w:asciiTheme="minorHAnsi" w:eastAsiaTheme="minorEastAsia" w:hAnsiTheme="minorHAnsi" w:cstheme="minorHAnsi"/>
                <w:szCs w:val="20"/>
                <w:lang w:val="sq-AL"/>
              </w:rPr>
              <w:t>ë</w:t>
            </w:r>
            <w:r w:rsidR="002904C5" w:rsidRPr="001477FC">
              <w:rPr>
                <w:rFonts w:asciiTheme="minorHAnsi" w:eastAsiaTheme="minorEastAsia" w:hAnsiTheme="minorHAnsi" w:cstheme="minorHAnsi"/>
                <w:szCs w:val="20"/>
                <w:lang w:val="sq-AL"/>
              </w:rPr>
              <w:t>rlidhura</w:t>
            </w:r>
          </w:p>
        </w:tc>
        <w:tc>
          <w:tcPr>
            <w:tcW w:w="900" w:type="dxa"/>
          </w:tcPr>
          <w:p w14:paraId="70B62457" w14:textId="3A78366A" w:rsidR="004847AA" w:rsidRPr="001477FC" w:rsidRDefault="0006464E" w:rsidP="004847AA">
            <w:pPr>
              <w:spacing w:line="240" w:lineRule="auto"/>
              <w:ind w:firstLine="0"/>
              <w:jc w:val="left"/>
              <w:rPr>
                <w:rFonts w:asciiTheme="minorHAnsi" w:eastAsiaTheme="minorEastAsia" w:hAnsiTheme="minorHAnsi" w:cstheme="minorHAnsi"/>
                <w:szCs w:val="20"/>
                <w:lang w:val="sq-AL"/>
              </w:rPr>
            </w:pPr>
            <w:r w:rsidRPr="001477FC">
              <w:rPr>
                <w:rFonts w:asciiTheme="minorHAnsi" w:eastAsiaTheme="minorEastAsia" w:hAnsiTheme="minorHAnsi" w:cstheme="minorHAnsi"/>
                <w:szCs w:val="20"/>
                <w:lang w:val="sq-AL"/>
              </w:rPr>
              <w:t>Dhjetor</w:t>
            </w:r>
            <w:r w:rsidR="004847AA" w:rsidRPr="001477FC">
              <w:rPr>
                <w:rFonts w:asciiTheme="minorHAnsi" w:eastAsiaTheme="minorEastAsia" w:hAnsiTheme="minorHAnsi" w:cstheme="minorHAnsi"/>
                <w:szCs w:val="20"/>
                <w:lang w:val="sq-AL"/>
              </w:rPr>
              <w:t xml:space="preserve"> 2019</w:t>
            </w:r>
          </w:p>
        </w:tc>
        <w:tc>
          <w:tcPr>
            <w:tcW w:w="1260" w:type="dxa"/>
          </w:tcPr>
          <w:p w14:paraId="169D2108" w14:textId="4E1E61BA" w:rsidR="004847AA" w:rsidRPr="001477FC" w:rsidRDefault="006F03A6"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HAnsi"/>
                <w:szCs w:val="20"/>
                <w:lang w:val="sq-AL"/>
              </w:rPr>
              <w:t>KIESA</w:t>
            </w:r>
          </w:p>
        </w:tc>
        <w:tc>
          <w:tcPr>
            <w:tcW w:w="1980" w:type="dxa"/>
          </w:tcPr>
          <w:p w14:paraId="791FF896" w14:textId="270E0ACF" w:rsidR="004847AA" w:rsidRPr="001477FC" w:rsidRDefault="00335271" w:rsidP="004847AA">
            <w:pPr>
              <w:spacing w:after="120" w:line="240" w:lineRule="auto"/>
              <w:ind w:firstLine="0"/>
              <w:jc w:val="left"/>
              <w:rPr>
                <w:rFonts w:asciiTheme="minorHAnsi" w:eastAsiaTheme="minorEastAsia" w:hAnsiTheme="minorHAnsi" w:cstheme="minorBidi"/>
                <w:lang w:val="sq-AL"/>
              </w:rPr>
            </w:pPr>
            <w:r w:rsidRPr="001477FC">
              <w:rPr>
                <w:rFonts w:asciiTheme="minorHAnsi" w:eastAsiaTheme="minorEastAsia" w:hAnsiTheme="minorHAnsi" w:cstheme="minorBidi"/>
                <w:lang w:val="sq-AL"/>
              </w:rPr>
              <w:t xml:space="preserve">Hartimi i mjetit </w:t>
            </w:r>
            <w:r w:rsidR="001477FC" w:rsidRPr="001477FC">
              <w:rPr>
                <w:rFonts w:asciiTheme="minorHAnsi" w:eastAsiaTheme="minorEastAsia" w:hAnsiTheme="minorHAnsi" w:cstheme="minorBidi"/>
                <w:lang w:val="sq-AL"/>
              </w:rPr>
              <w:t>gjurmues</w:t>
            </w:r>
            <w:r w:rsidRPr="001477FC">
              <w:rPr>
                <w:rFonts w:asciiTheme="minorHAnsi" w:eastAsiaTheme="minorEastAsia" w:hAnsiTheme="minorHAnsi" w:cstheme="minorBidi"/>
                <w:lang w:val="sq-AL"/>
              </w:rPr>
              <w:t xml:space="preserve"> (zgjidhja teknike dhe  </w:t>
            </w:r>
            <w:r w:rsidR="001477FC" w:rsidRPr="001477FC">
              <w:rPr>
                <w:rFonts w:asciiTheme="minorHAnsi" w:eastAsiaTheme="minorEastAsia" w:hAnsiTheme="minorHAnsi" w:cstheme="minorBidi"/>
                <w:lang w:val="sq-AL"/>
              </w:rPr>
              <w:t>nj</w:t>
            </w:r>
            <w:r w:rsidR="006822F7">
              <w:rPr>
                <w:rFonts w:asciiTheme="minorHAnsi" w:eastAsiaTheme="minorEastAsia" w:hAnsiTheme="minorHAnsi" w:cstheme="minorBidi"/>
                <w:lang w:val="sq-AL"/>
              </w:rPr>
              <w:t>ë</w:t>
            </w:r>
            <w:r w:rsidR="001477FC" w:rsidRPr="001477FC">
              <w:rPr>
                <w:rFonts w:asciiTheme="minorHAnsi" w:eastAsiaTheme="minorEastAsia" w:hAnsiTheme="minorHAnsi" w:cstheme="minorBidi"/>
                <w:lang w:val="sq-AL"/>
              </w:rPr>
              <w:t xml:space="preserve">sia </w:t>
            </w:r>
            <w:r w:rsidRPr="001477FC">
              <w:rPr>
                <w:rFonts w:asciiTheme="minorHAnsi" w:eastAsiaTheme="minorEastAsia" w:hAnsiTheme="minorHAnsi" w:cstheme="minorBidi"/>
                <w:lang w:val="sq-AL"/>
              </w:rPr>
              <w:t>institucionale</w:t>
            </w:r>
            <w:r w:rsidR="004847AA" w:rsidRPr="001477FC">
              <w:rPr>
                <w:rFonts w:asciiTheme="minorHAnsi" w:eastAsiaTheme="minorEastAsia" w:hAnsiTheme="minorHAnsi" w:cstheme="minorBidi"/>
                <w:lang w:val="sq-AL"/>
              </w:rPr>
              <w:t>).</w:t>
            </w:r>
          </w:p>
          <w:p w14:paraId="5A908AE7" w14:textId="1EDDE2F5" w:rsidR="004847AA" w:rsidRPr="001477FC" w:rsidRDefault="00BF287D" w:rsidP="004847AA">
            <w:pPr>
              <w:spacing w:after="120" w:line="240" w:lineRule="auto"/>
              <w:ind w:firstLine="0"/>
              <w:jc w:val="left"/>
              <w:rPr>
                <w:rFonts w:asciiTheme="minorHAnsi" w:eastAsiaTheme="minorEastAsia" w:hAnsiTheme="minorHAnsi" w:cstheme="minorBidi"/>
                <w:lang w:val="sq-AL"/>
              </w:rPr>
            </w:pPr>
            <w:r w:rsidRPr="001477FC">
              <w:rPr>
                <w:rFonts w:asciiTheme="minorHAnsi" w:eastAsiaTheme="minorEastAsia" w:hAnsiTheme="minorHAnsi" w:cstheme="minorBidi"/>
                <w:lang w:val="sq-AL"/>
              </w:rPr>
              <w:t xml:space="preserve">Një doracak operativ për përdorimin e mjetit </w:t>
            </w:r>
            <w:r w:rsidR="001477FC" w:rsidRPr="001477FC">
              <w:rPr>
                <w:rFonts w:asciiTheme="minorHAnsi" w:eastAsiaTheme="minorEastAsia" w:hAnsiTheme="minorHAnsi" w:cstheme="minorBidi"/>
                <w:lang w:val="sq-AL"/>
              </w:rPr>
              <w:t>gjurmues</w:t>
            </w:r>
            <w:r w:rsidR="004847AA" w:rsidRPr="001477FC">
              <w:rPr>
                <w:rFonts w:asciiTheme="minorHAnsi" w:eastAsiaTheme="minorEastAsia" w:hAnsiTheme="minorHAnsi" w:cstheme="minorBidi"/>
                <w:lang w:val="sq-AL"/>
              </w:rPr>
              <w:t>.</w:t>
            </w:r>
          </w:p>
          <w:p w14:paraId="762DA43E" w14:textId="541B4BD6" w:rsidR="004847AA" w:rsidRPr="001477FC" w:rsidRDefault="00BF287D" w:rsidP="004847AA">
            <w:pPr>
              <w:spacing w:after="120" w:line="240" w:lineRule="auto"/>
              <w:ind w:firstLine="0"/>
              <w:jc w:val="left"/>
              <w:rPr>
                <w:rFonts w:asciiTheme="minorHAnsi" w:eastAsiaTheme="minorEastAsia" w:hAnsiTheme="minorHAnsi" w:cstheme="minorBidi"/>
                <w:lang w:val="sq-AL"/>
              </w:rPr>
            </w:pPr>
            <w:r w:rsidRPr="001477FC">
              <w:rPr>
                <w:rFonts w:asciiTheme="minorHAnsi" w:eastAsiaTheme="minorEastAsia" w:hAnsiTheme="minorHAnsi" w:cstheme="minorBidi"/>
                <w:lang w:val="sq-AL"/>
              </w:rPr>
              <w:t xml:space="preserve">Mjet </w:t>
            </w:r>
            <w:r w:rsidR="001477FC" w:rsidRPr="001477FC">
              <w:rPr>
                <w:rFonts w:asciiTheme="minorHAnsi" w:eastAsiaTheme="minorEastAsia" w:hAnsiTheme="minorHAnsi" w:cstheme="minorBidi"/>
                <w:lang w:val="sq-AL"/>
              </w:rPr>
              <w:t xml:space="preserve">gjurmues </w:t>
            </w:r>
            <w:r w:rsidR="006822F7">
              <w:rPr>
                <w:rFonts w:asciiTheme="minorHAnsi" w:eastAsiaTheme="minorEastAsia" w:hAnsiTheme="minorHAnsi" w:cstheme="minorBidi"/>
                <w:lang w:val="sq-AL"/>
              </w:rPr>
              <w:t>ë</w:t>
            </w:r>
            <w:r w:rsidR="001477FC" w:rsidRPr="001477FC">
              <w:rPr>
                <w:rFonts w:asciiTheme="minorHAnsi" w:eastAsiaTheme="minorEastAsia" w:hAnsiTheme="minorHAnsi" w:cstheme="minorBidi"/>
                <w:lang w:val="sq-AL"/>
              </w:rPr>
              <w:t>sht</w:t>
            </w:r>
            <w:r w:rsidR="006822F7">
              <w:rPr>
                <w:rFonts w:asciiTheme="minorHAnsi" w:eastAsiaTheme="minorEastAsia" w:hAnsiTheme="minorHAnsi" w:cstheme="minorBidi"/>
                <w:lang w:val="sq-AL"/>
              </w:rPr>
              <w:t>ë</w:t>
            </w:r>
            <w:r w:rsidR="001477FC" w:rsidRPr="001477FC">
              <w:rPr>
                <w:rFonts w:asciiTheme="minorHAnsi" w:eastAsiaTheme="minorEastAsia" w:hAnsiTheme="minorHAnsi" w:cstheme="minorBidi"/>
                <w:lang w:val="sq-AL"/>
              </w:rPr>
              <w:t xml:space="preserve"> krijuar dhe funksional</w:t>
            </w:r>
            <w:r w:rsidR="004847AA" w:rsidRPr="001477FC">
              <w:rPr>
                <w:rFonts w:asciiTheme="minorHAnsi" w:eastAsiaTheme="minorEastAsia" w:hAnsiTheme="minorHAnsi" w:cstheme="minorBidi"/>
                <w:lang w:val="sq-AL"/>
              </w:rPr>
              <w:t>.</w:t>
            </w:r>
          </w:p>
          <w:p w14:paraId="2508FA76" w14:textId="4AB04177" w:rsidR="004847AA" w:rsidRPr="001477FC" w:rsidRDefault="00BF287D" w:rsidP="001477FC">
            <w:pPr>
              <w:spacing w:line="240" w:lineRule="auto"/>
              <w:ind w:firstLine="0"/>
              <w:jc w:val="left"/>
              <w:rPr>
                <w:rFonts w:asciiTheme="minorHAnsi" w:eastAsiaTheme="minorEastAsia" w:hAnsiTheme="minorHAnsi" w:cstheme="minorHAnsi"/>
                <w:szCs w:val="20"/>
                <w:lang w:val="sq-AL"/>
              </w:rPr>
            </w:pPr>
            <w:r w:rsidRPr="001477FC">
              <w:rPr>
                <w:rFonts w:asciiTheme="minorHAnsi" w:eastAsiaTheme="minorEastAsia" w:hAnsiTheme="minorHAnsi" w:cstheme="minorBidi"/>
                <w:szCs w:val="20"/>
                <w:lang w:val="sq-AL"/>
              </w:rPr>
              <w:t>Raportet vjetore që përshkruajnë rezultatet e an</w:t>
            </w:r>
            <w:r w:rsidR="00DD621D" w:rsidRPr="001477FC">
              <w:rPr>
                <w:rFonts w:asciiTheme="minorHAnsi" w:eastAsiaTheme="minorEastAsia" w:hAnsiTheme="minorHAnsi" w:cstheme="minorBidi"/>
                <w:szCs w:val="20"/>
                <w:lang w:val="sq-AL"/>
              </w:rPr>
              <w:t>kesave, të cilat</w:t>
            </w:r>
            <w:r w:rsidRPr="001477FC">
              <w:rPr>
                <w:rFonts w:asciiTheme="minorHAnsi" w:eastAsiaTheme="minorEastAsia" w:hAnsiTheme="minorHAnsi" w:cstheme="minorBidi"/>
                <w:szCs w:val="20"/>
                <w:lang w:val="sq-AL"/>
              </w:rPr>
              <w:t xml:space="preserve"> do të përdoren për </w:t>
            </w:r>
            <w:proofErr w:type="spellStart"/>
            <w:r w:rsidRPr="001477FC">
              <w:rPr>
                <w:rFonts w:asciiTheme="minorHAnsi" w:eastAsiaTheme="minorEastAsia" w:hAnsiTheme="minorHAnsi" w:cstheme="minorBidi"/>
                <w:szCs w:val="20"/>
                <w:lang w:val="sq-AL"/>
              </w:rPr>
              <w:t>avokim</w:t>
            </w:r>
            <w:proofErr w:type="spellEnd"/>
            <w:r w:rsidR="001477FC" w:rsidRPr="001477FC">
              <w:rPr>
                <w:rFonts w:asciiTheme="minorHAnsi" w:eastAsiaTheme="minorEastAsia" w:hAnsiTheme="minorHAnsi" w:cstheme="minorBidi"/>
                <w:szCs w:val="20"/>
                <w:lang w:val="sq-AL"/>
              </w:rPr>
              <w:t xml:space="preserve"> t</w:t>
            </w:r>
            <w:r w:rsidR="006822F7">
              <w:rPr>
                <w:rFonts w:asciiTheme="minorHAnsi" w:eastAsiaTheme="minorEastAsia" w:hAnsiTheme="minorHAnsi" w:cstheme="minorBidi"/>
                <w:szCs w:val="20"/>
                <w:lang w:val="sq-AL"/>
              </w:rPr>
              <w:t>ë</w:t>
            </w:r>
            <w:r w:rsidR="001477FC" w:rsidRPr="001477FC">
              <w:rPr>
                <w:rFonts w:asciiTheme="minorHAnsi" w:eastAsiaTheme="minorEastAsia" w:hAnsiTheme="minorHAnsi" w:cstheme="minorBidi"/>
                <w:szCs w:val="20"/>
                <w:lang w:val="sq-AL"/>
              </w:rPr>
              <w:t xml:space="preserve"> </w:t>
            </w:r>
            <w:r w:rsidRPr="001477FC">
              <w:rPr>
                <w:rFonts w:asciiTheme="minorHAnsi" w:eastAsiaTheme="minorEastAsia" w:hAnsiTheme="minorHAnsi" w:cstheme="minorBidi"/>
                <w:szCs w:val="20"/>
                <w:lang w:val="sq-AL"/>
              </w:rPr>
              <w:t>politikave</w:t>
            </w:r>
            <w:r w:rsidR="004847AA" w:rsidRPr="001477FC">
              <w:rPr>
                <w:rFonts w:asciiTheme="minorHAnsi" w:eastAsiaTheme="minorEastAsia" w:hAnsiTheme="minorHAnsi" w:cstheme="minorBidi"/>
                <w:szCs w:val="20"/>
                <w:lang w:val="sq-AL"/>
              </w:rPr>
              <w:t>.</w:t>
            </w:r>
          </w:p>
        </w:tc>
        <w:tc>
          <w:tcPr>
            <w:tcW w:w="1080" w:type="dxa"/>
          </w:tcPr>
          <w:p w14:paraId="647D5070" w14:textId="6FB7D349" w:rsidR="004847AA" w:rsidRPr="001477FC"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1477FC">
              <w:rPr>
                <w:rFonts w:asciiTheme="minorHAnsi" w:eastAsiaTheme="minorEastAsia" w:hAnsiTheme="minorHAnsi" w:cstheme="minorBidi"/>
                <w:szCs w:val="20"/>
                <w:lang w:val="sq-AL"/>
              </w:rPr>
              <w:t xml:space="preserve"> - BP PPI</w:t>
            </w:r>
            <w:r w:rsidR="00792A30" w:rsidRPr="001477FC">
              <w:rPr>
                <w:rFonts w:asciiTheme="minorHAnsi" w:eastAsiaTheme="minorEastAsia" w:hAnsiTheme="minorHAnsi" w:cstheme="minorHAnsi"/>
                <w:szCs w:val="20"/>
                <w:lang w:val="sq-AL"/>
              </w:rPr>
              <w:t xml:space="preserve"> / BERZH</w:t>
            </w:r>
          </w:p>
        </w:tc>
        <w:tc>
          <w:tcPr>
            <w:tcW w:w="4770" w:type="dxa"/>
          </w:tcPr>
          <w:p w14:paraId="3683D525" w14:textId="44F9D272" w:rsidR="004847AA" w:rsidRPr="001477FC" w:rsidRDefault="001477FC" w:rsidP="001477FC">
            <w:pPr>
              <w:spacing w:after="120" w:line="240" w:lineRule="auto"/>
              <w:ind w:firstLine="0"/>
              <w:jc w:val="left"/>
              <w:rPr>
                <w:rFonts w:asciiTheme="minorHAnsi" w:eastAsiaTheme="minorEastAsia" w:hAnsiTheme="minorHAnsi" w:cstheme="minorHAnsi"/>
                <w:szCs w:val="20"/>
                <w:lang w:val="sq-AL"/>
              </w:rPr>
            </w:pPr>
            <w:r w:rsidRPr="001477FC">
              <w:rPr>
                <w:rFonts w:asciiTheme="minorHAnsi" w:eastAsia="SimSun" w:hAnsiTheme="minorHAnsi" w:cstheme="minorHAnsi"/>
                <w:i/>
                <w:szCs w:val="22"/>
                <w:lang w:val="sq-AL" w:eastAsia="zh-CN"/>
              </w:rPr>
              <w:t xml:space="preserve">Mjeti gjurmues </w:t>
            </w:r>
            <w:r w:rsidR="00347F12" w:rsidRPr="001477FC">
              <w:rPr>
                <w:rFonts w:asciiTheme="minorHAnsi" w:eastAsia="SimSun" w:hAnsiTheme="minorHAnsi" w:cstheme="minorHAnsi"/>
                <w:i/>
                <w:szCs w:val="22"/>
                <w:lang w:val="sq-AL" w:eastAsia="zh-CN"/>
              </w:rPr>
              <w:t xml:space="preserve"> mund të jetë në një format të thjeshtë </w:t>
            </w:r>
            <w:r w:rsidR="00275E53" w:rsidRPr="001477FC">
              <w:rPr>
                <w:rFonts w:asciiTheme="minorHAnsi" w:eastAsia="SimSun" w:hAnsiTheme="minorHAnsi" w:cstheme="minorHAnsi"/>
                <w:i/>
                <w:szCs w:val="22"/>
                <w:lang w:val="sq-AL" w:eastAsia="zh-CN"/>
              </w:rPr>
              <w:t>Excel</w:t>
            </w:r>
            <w:r w:rsidR="00347F12" w:rsidRPr="001477FC">
              <w:rPr>
                <w:rFonts w:asciiTheme="minorHAnsi" w:eastAsia="SimSun" w:hAnsiTheme="minorHAnsi" w:cstheme="minorHAnsi"/>
                <w:i/>
                <w:szCs w:val="22"/>
                <w:lang w:val="sq-AL" w:eastAsia="zh-CN"/>
              </w:rPr>
              <w:t xml:space="preserve">, që është më i lehtë dhe më pak i </w:t>
            </w:r>
            <w:r w:rsidRPr="001477FC">
              <w:rPr>
                <w:rFonts w:asciiTheme="minorHAnsi" w:eastAsia="SimSun" w:hAnsiTheme="minorHAnsi" w:cstheme="minorHAnsi"/>
                <w:i/>
                <w:szCs w:val="22"/>
                <w:lang w:val="sq-AL" w:eastAsia="zh-CN"/>
              </w:rPr>
              <w:t>kushtuesh</w:t>
            </w:r>
            <w:r w:rsidR="006822F7">
              <w:rPr>
                <w:rFonts w:asciiTheme="minorHAnsi" w:eastAsia="SimSun" w:hAnsiTheme="minorHAnsi" w:cstheme="minorHAnsi"/>
                <w:i/>
                <w:szCs w:val="22"/>
                <w:lang w:val="sq-AL" w:eastAsia="zh-CN"/>
              </w:rPr>
              <w:t>ë</w:t>
            </w:r>
            <w:r w:rsidRPr="001477FC">
              <w:rPr>
                <w:rFonts w:asciiTheme="minorHAnsi" w:eastAsia="SimSun" w:hAnsiTheme="minorHAnsi" w:cstheme="minorHAnsi"/>
                <w:i/>
                <w:szCs w:val="22"/>
                <w:lang w:val="sq-AL" w:eastAsia="zh-CN"/>
              </w:rPr>
              <w:t xml:space="preserve">m </w:t>
            </w:r>
            <w:r w:rsidR="00347F12" w:rsidRPr="001477FC">
              <w:rPr>
                <w:rFonts w:asciiTheme="minorHAnsi" w:eastAsia="SimSun" w:hAnsiTheme="minorHAnsi" w:cstheme="minorHAnsi"/>
                <w:i/>
                <w:szCs w:val="22"/>
                <w:lang w:val="sq-AL" w:eastAsia="zh-CN"/>
              </w:rPr>
              <w:t xml:space="preserve"> për t'u instaluar, ose në formën e softuerit më të sofistikuar</w:t>
            </w:r>
            <w:r w:rsidR="004847AA" w:rsidRPr="001477FC">
              <w:rPr>
                <w:rFonts w:asciiTheme="minorHAnsi" w:eastAsia="SimSun" w:hAnsiTheme="minorHAnsi" w:cstheme="minorHAnsi"/>
                <w:i/>
                <w:szCs w:val="22"/>
                <w:lang w:val="sq-AL" w:eastAsia="zh-CN"/>
              </w:rPr>
              <w:t>.</w:t>
            </w:r>
          </w:p>
        </w:tc>
      </w:tr>
      <w:tr w:rsidR="004847AA" w:rsidRPr="009A66BD" w14:paraId="2F8431C2" w14:textId="77777777" w:rsidTr="0062412B">
        <w:trPr>
          <w:trHeight w:val="1675"/>
        </w:trPr>
        <w:tc>
          <w:tcPr>
            <w:tcW w:w="2425" w:type="dxa"/>
            <w:vMerge/>
          </w:tcPr>
          <w:p w14:paraId="655EA410" w14:textId="77777777" w:rsidR="004847AA" w:rsidRPr="009A66BD" w:rsidRDefault="004847AA" w:rsidP="004847AA">
            <w:pPr>
              <w:spacing w:after="120" w:line="240" w:lineRule="auto"/>
              <w:ind w:firstLine="0"/>
              <w:jc w:val="left"/>
              <w:rPr>
                <w:rFonts w:asciiTheme="minorHAnsi" w:eastAsiaTheme="minorHAnsi" w:hAnsiTheme="minorHAnsi" w:cstheme="minorHAnsi"/>
                <w:szCs w:val="20"/>
                <w:lang w:val="sq-AL"/>
              </w:rPr>
            </w:pPr>
          </w:p>
        </w:tc>
        <w:tc>
          <w:tcPr>
            <w:tcW w:w="2520" w:type="dxa"/>
          </w:tcPr>
          <w:p w14:paraId="7AC8EE19" w14:textId="4E020353" w:rsidR="004847AA" w:rsidRPr="000A0AFE" w:rsidRDefault="004847AA" w:rsidP="000A0AFE">
            <w:pPr>
              <w:spacing w:after="120" w:line="240" w:lineRule="auto"/>
              <w:ind w:firstLine="0"/>
              <w:jc w:val="left"/>
              <w:rPr>
                <w:rFonts w:asciiTheme="minorHAnsi" w:eastAsiaTheme="minorEastAsia" w:hAnsiTheme="minorHAnsi" w:cstheme="minorHAnsi"/>
                <w:szCs w:val="20"/>
                <w:lang w:val="sq-AL"/>
              </w:rPr>
            </w:pPr>
            <w:r w:rsidRPr="000A0AFE">
              <w:rPr>
                <w:rFonts w:asciiTheme="minorHAnsi" w:eastAsiaTheme="minorEastAsia" w:hAnsiTheme="minorHAnsi" w:cstheme="minorHAnsi"/>
                <w:szCs w:val="20"/>
                <w:lang w:val="sq-AL"/>
              </w:rPr>
              <w:t xml:space="preserve">4.1.4. </w:t>
            </w:r>
            <w:r w:rsidR="004362F4" w:rsidRPr="000A0AFE">
              <w:rPr>
                <w:rFonts w:asciiTheme="minorHAnsi" w:eastAsiaTheme="minorEastAsia" w:hAnsiTheme="minorHAnsi" w:cstheme="minorHAnsi"/>
                <w:szCs w:val="20"/>
                <w:lang w:val="sq-AL"/>
              </w:rPr>
              <w:t xml:space="preserve">Ndërtimi i kapaciteteve </w:t>
            </w:r>
            <w:r w:rsidR="000A0AFE" w:rsidRPr="000A0AFE">
              <w:rPr>
                <w:rFonts w:asciiTheme="minorHAnsi" w:eastAsiaTheme="minorEastAsia" w:hAnsiTheme="minorHAnsi" w:cstheme="minorHAnsi"/>
                <w:szCs w:val="20"/>
                <w:lang w:val="sq-AL"/>
              </w:rPr>
              <w:t>mbi</w:t>
            </w:r>
            <w:r w:rsidR="004362F4" w:rsidRPr="000A0AFE">
              <w:rPr>
                <w:rFonts w:asciiTheme="minorHAnsi" w:eastAsiaTheme="minorEastAsia" w:hAnsiTheme="minorHAnsi" w:cstheme="minorHAnsi"/>
                <w:szCs w:val="20"/>
                <w:lang w:val="sq-AL"/>
              </w:rPr>
              <w:t xml:space="preserve"> menaxhimin e ankesave, MNI-të, grumbullimin e të dhënave, si dhe monitorimi</w:t>
            </w:r>
            <w:r w:rsidR="000A0AFE" w:rsidRPr="000A0AFE">
              <w:rPr>
                <w:rFonts w:asciiTheme="minorHAnsi" w:eastAsiaTheme="minorEastAsia" w:hAnsiTheme="minorHAnsi" w:cstheme="minorHAnsi"/>
                <w:szCs w:val="20"/>
                <w:lang w:val="sq-AL"/>
              </w:rPr>
              <w:t>n</w:t>
            </w:r>
            <w:r w:rsidR="004362F4" w:rsidRPr="000A0AFE">
              <w:rPr>
                <w:rFonts w:asciiTheme="minorHAnsi" w:eastAsiaTheme="minorEastAsia" w:hAnsiTheme="minorHAnsi" w:cstheme="minorHAnsi"/>
                <w:szCs w:val="20"/>
                <w:lang w:val="sq-AL"/>
              </w:rPr>
              <w:t xml:space="preserve"> dhe vlerësimi</w:t>
            </w:r>
            <w:r w:rsidR="000A0AFE" w:rsidRPr="000A0AFE">
              <w:rPr>
                <w:rFonts w:asciiTheme="minorHAnsi" w:eastAsiaTheme="minorEastAsia" w:hAnsiTheme="minorHAnsi" w:cstheme="minorHAnsi"/>
                <w:szCs w:val="20"/>
                <w:lang w:val="sq-AL"/>
              </w:rPr>
              <w:t>n</w:t>
            </w:r>
          </w:p>
        </w:tc>
        <w:tc>
          <w:tcPr>
            <w:tcW w:w="900" w:type="dxa"/>
          </w:tcPr>
          <w:p w14:paraId="096331B1" w14:textId="7F23E05B" w:rsidR="004847AA" w:rsidRPr="000A0AFE" w:rsidRDefault="0006464E" w:rsidP="004847AA">
            <w:pPr>
              <w:spacing w:after="120" w:line="240" w:lineRule="auto"/>
              <w:ind w:firstLine="0"/>
              <w:jc w:val="left"/>
              <w:rPr>
                <w:rFonts w:asciiTheme="minorHAnsi" w:eastAsiaTheme="minorEastAsia" w:hAnsiTheme="minorHAnsi" w:cstheme="minorHAnsi"/>
                <w:szCs w:val="20"/>
                <w:lang w:val="sq-AL"/>
              </w:rPr>
            </w:pPr>
            <w:r w:rsidRPr="000A0AFE">
              <w:rPr>
                <w:rFonts w:asciiTheme="minorHAnsi" w:eastAsiaTheme="minorEastAsia" w:hAnsiTheme="minorHAnsi" w:cstheme="minorHAnsi"/>
                <w:szCs w:val="20"/>
                <w:lang w:val="sq-AL"/>
              </w:rPr>
              <w:t xml:space="preserve">Dhjetor </w:t>
            </w:r>
            <w:r w:rsidR="004847AA" w:rsidRPr="000A0AFE">
              <w:rPr>
                <w:rFonts w:asciiTheme="minorHAnsi" w:eastAsiaTheme="minorEastAsia" w:hAnsiTheme="minorHAnsi" w:cstheme="minorHAnsi"/>
                <w:szCs w:val="20"/>
                <w:lang w:val="sq-AL"/>
              </w:rPr>
              <w:t>2019</w:t>
            </w:r>
          </w:p>
        </w:tc>
        <w:tc>
          <w:tcPr>
            <w:tcW w:w="1260" w:type="dxa"/>
          </w:tcPr>
          <w:p w14:paraId="421646DD" w14:textId="747AEF3F" w:rsidR="004847AA" w:rsidRPr="000A0AFE" w:rsidRDefault="006F03A6"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HAnsi"/>
                <w:szCs w:val="20"/>
                <w:lang w:val="sq-AL"/>
              </w:rPr>
              <w:t>KIESA</w:t>
            </w:r>
          </w:p>
        </w:tc>
        <w:tc>
          <w:tcPr>
            <w:tcW w:w="1980" w:type="dxa"/>
          </w:tcPr>
          <w:p w14:paraId="3D760979" w14:textId="48C898F3" w:rsidR="004847AA" w:rsidRPr="000A0AFE" w:rsidRDefault="00A20243" w:rsidP="004847AA">
            <w:pPr>
              <w:spacing w:line="240" w:lineRule="auto"/>
              <w:ind w:firstLine="0"/>
              <w:jc w:val="left"/>
              <w:rPr>
                <w:rFonts w:asciiTheme="minorHAnsi" w:eastAsiaTheme="minorEastAsia" w:hAnsiTheme="minorHAnsi" w:cstheme="minorHAnsi"/>
                <w:szCs w:val="20"/>
                <w:lang w:val="sq-AL"/>
              </w:rPr>
            </w:pPr>
            <w:r w:rsidRPr="000A0AFE">
              <w:rPr>
                <w:rFonts w:asciiTheme="minorHAnsi" w:eastAsiaTheme="minorEastAsia" w:hAnsiTheme="minorHAnsi" w:cstheme="minorHAnsi"/>
                <w:szCs w:val="20"/>
                <w:lang w:val="sq-AL"/>
              </w:rPr>
              <w:t>Një seri e punëtorive me zyrtarët përkatës të agjencive</w:t>
            </w:r>
          </w:p>
        </w:tc>
        <w:tc>
          <w:tcPr>
            <w:tcW w:w="1080" w:type="dxa"/>
          </w:tcPr>
          <w:p w14:paraId="74564D4E" w14:textId="56C25D90" w:rsidR="004847AA" w:rsidRPr="000A0AFE" w:rsidRDefault="008D5E84" w:rsidP="004847AA">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792A30" w:rsidRPr="000A0AFE">
              <w:rPr>
                <w:rFonts w:asciiTheme="minorHAnsi" w:eastAsiaTheme="minorEastAsia" w:hAnsiTheme="minorHAnsi" w:cstheme="minorBidi"/>
                <w:szCs w:val="20"/>
                <w:lang w:val="sq-AL"/>
              </w:rPr>
              <w:t xml:space="preserve"> - BP PPI</w:t>
            </w:r>
            <w:r w:rsidR="00792A30" w:rsidRPr="000A0AFE">
              <w:rPr>
                <w:rFonts w:asciiTheme="minorHAnsi" w:eastAsiaTheme="minorEastAsia" w:hAnsiTheme="minorHAnsi" w:cstheme="minorHAnsi"/>
                <w:szCs w:val="20"/>
                <w:lang w:val="sq-AL"/>
              </w:rPr>
              <w:t xml:space="preserve"> / BERZH</w:t>
            </w:r>
          </w:p>
        </w:tc>
        <w:tc>
          <w:tcPr>
            <w:tcW w:w="4770" w:type="dxa"/>
          </w:tcPr>
          <w:p w14:paraId="1D6B1152" w14:textId="1089D1A6" w:rsidR="004847AA" w:rsidRPr="000A0AFE" w:rsidRDefault="004847AA" w:rsidP="004847AA">
            <w:pPr>
              <w:spacing w:after="120" w:line="240" w:lineRule="auto"/>
              <w:ind w:firstLine="0"/>
              <w:jc w:val="left"/>
              <w:rPr>
                <w:rFonts w:asciiTheme="minorHAnsi" w:eastAsiaTheme="minorEastAsia" w:hAnsiTheme="minorHAnsi" w:cstheme="minorHAnsi"/>
                <w:szCs w:val="20"/>
                <w:lang w:val="sq-AL"/>
              </w:rPr>
            </w:pPr>
          </w:p>
        </w:tc>
      </w:tr>
      <w:bookmarkEnd w:id="11"/>
      <w:tr w:rsidR="004847AA" w:rsidRPr="009A66BD" w14:paraId="339A67F6" w14:textId="77777777" w:rsidTr="00F50EF6">
        <w:trPr>
          <w:cnfStyle w:val="000000100000" w:firstRow="0" w:lastRow="0" w:firstColumn="0" w:lastColumn="0" w:oddVBand="0" w:evenVBand="0" w:oddHBand="1" w:evenHBand="0" w:firstRowFirstColumn="0" w:firstRowLastColumn="0" w:lastRowFirstColumn="0" w:lastRowLastColumn="0"/>
          <w:trHeight w:val="1015"/>
        </w:trPr>
        <w:tc>
          <w:tcPr>
            <w:tcW w:w="2425" w:type="dxa"/>
          </w:tcPr>
          <w:p w14:paraId="00A34992" w14:textId="2D669B5D" w:rsidR="004847AA" w:rsidRPr="009A66BD" w:rsidRDefault="004847AA" w:rsidP="000A0AFE">
            <w:pPr>
              <w:spacing w:after="120" w:line="240" w:lineRule="auto"/>
              <w:ind w:left="520"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t xml:space="preserve">4.2 </w:t>
            </w:r>
            <w:r w:rsidR="00A74630" w:rsidRPr="009A66BD">
              <w:rPr>
                <w:rFonts w:asciiTheme="majorHAnsi" w:eastAsiaTheme="minorEastAsia" w:hAnsiTheme="majorHAnsi" w:cstheme="majorHAnsi"/>
                <w:i/>
                <w:iCs/>
                <w:szCs w:val="20"/>
                <w:lang w:val="sq-AL"/>
              </w:rPr>
              <w:t xml:space="preserve">Forcimi i mandatit të Grupit të Përbashkët Punues të </w:t>
            </w:r>
            <w:r w:rsidR="00A74630" w:rsidRPr="009A66BD">
              <w:rPr>
                <w:rFonts w:asciiTheme="majorHAnsi" w:eastAsiaTheme="minorEastAsia" w:hAnsiTheme="majorHAnsi" w:cstheme="majorHAnsi"/>
                <w:i/>
                <w:iCs/>
                <w:szCs w:val="20"/>
                <w:lang w:val="sq-AL"/>
              </w:rPr>
              <w:lastRenderedPageBreak/>
              <w:t xml:space="preserve">Investimeve të SEEIC-CEFTA për të krijuar atë si një platformë rajonale për shkëmbimin e përvojave në menaxhimin e ankesave dhe parandalimin e mosmarrëveshjeve </w:t>
            </w:r>
            <w:r w:rsidR="000A0AFE">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0A0AFE">
              <w:rPr>
                <w:rFonts w:asciiTheme="majorHAnsi" w:eastAsiaTheme="minorEastAsia" w:hAnsiTheme="majorHAnsi" w:cstheme="majorHAnsi"/>
                <w:i/>
                <w:iCs/>
                <w:szCs w:val="20"/>
                <w:lang w:val="sq-AL"/>
              </w:rPr>
              <w:t xml:space="preserve"> </w:t>
            </w:r>
            <w:r w:rsidR="00A74630" w:rsidRPr="009A66BD">
              <w:rPr>
                <w:rFonts w:asciiTheme="majorHAnsi" w:eastAsiaTheme="minorEastAsia" w:hAnsiTheme="majorHAnsi" w:cstheme="majorHAnsi"/>
                <w:i/>
                <w:iCs/>
                <w:szCs w:val="20"/>
                <w:lang w:val="sq-AL"/>
              </w:rPr>
              <w:t>investime</w:t>
            </w:r>
            <w:r w:rsidR="000A0AFE">
              <w:rPr>
                <w:rFonts w:asciiTheme="majorHAnsi" w:eastAsiaTheme="minorEastAsia" w:hAnsiTheme="majorHAnsi" w:cstheme="majorHAnsi"/>
                <w:i/>
                <w:iCs/>
                <w:szCs w:val="20"/>
                <w:lang w:val="sq-AL"/>
              </w:rPr>
              <w:t>ve</w:t>
            </w:r>
            <w:r w:rsidRPr="009A66BD">
              <w:rPr>
                <w:rFonts w:asciiTheme="majorHAnsi" w:eastAsiaTheme="minorEastAsia" w:hAnsiTheme="majorHAnsi" w:cstheme="majorHAnsi"/>
                <w:i/>
                <w:iCs/>
                <w:szCs w:val="20"/>
                <w:lang w:val="sq-AL"/>
              </w:rPr>
              <w:t>.</w:t>
            </w:r>
          </w:p>
        </w:tc>
        <w:tc>
          <w:tcPr>
            <w:tcW w:w="2520" w:type="dxa"/>
          </w:tcPr>
          <w:p w14:paraId="134A07C3" w14:textId="6421ED8B" w:rsidR="004847AA" w:rsidRPr="00932698" w:rsidRDefault="004847AA" w:rsidP="00932698">
            <w:pPr>
              <w:spacing w:after="120" w:line="240" w:lineRule="auto"/>
              <w:ind w:firstLine="0"/>
              <w:jc w:val="left"/>
              <w:rPr>
                <w:rFonts w:asciiTheme="minorHAnsi" w:eastAsiaTheme="minorEastAsia" w:hAnsiTheme="minorHAnsi" w:cstheme="minorHAnsi"/>
                <w:szCs w:val="20"/>
                <w:lang w:val="sq-AL"/>
              </w:rPr>
            </w:pPr>
            <w:r w:rsidRPr="00932698">
              <w:rPr>
                <w:rFonts w:asciiTheme="minorHAnsi" w:eastAsiaTheme="minorEastAsia" w:hAnsiTheme="minorHAnsi" w:cstheme="minorBidi"/>
                <w:szCs w:val="20"/>
                <w:lang w:val="sq-AL"/>
              </w:rPr>
              <w:lastRenderedPageBreak/>
              <w:t xml:space="preserve">4.2.1. </w:t>
            </w:r>
            <w:r w:rsidR="0007387E" w:rsidRPr="00932698">
              <w:rPr>
                <w:rFonts w:asciiTheme="minorHAnsi" w:hAnsiTheme="minorHAnsi" w:cstheme="minorHAnsi"/>
                <w:lang w:val="sq-AL"/>
              </w:rPr>
              <w:t>Mbështetja e këtij shkëmbim</w:t>
            </w:r>
            <w:r w:rsidR="006F03A6">
              <w:rPr>
                <w:rFonts w:asciiTheme="minorHAnsi" w:hAnsiTheme="minorHAnsi" w:cstheme="minorHAnsi"/>
                <w:lang w:val="sq-AL"/>
              </w:rPr>
              <w:t>i</w:t>
            </w:r>
            <w:r w:rsidR="0007387E" w:rsidRPr="00932698">
              <w:rPr>
                <w:rFonts w:asciiTheme="minorHAnsi" w:hAnsiTheme="minorHAnsi" w:cstheme="minorHAnsi"/>
                <w:lang w:val="sq-AL"/>
              </w:rPr>
              <w:t xml:space="preserve"> rajonal brenda strukturave ekzistuese duke emëruar përfaqësuesit e </w:t>
            </w:r>
            <w:r w:rsidR="0007387E" w:rsidRPr="00932698">
              <w:rPr>
                <w:rFonts w:asciiTheme="minorHAnsi" w:hAnsiTheme="minorHAnsi" w:cstheme="minorHAnsi"/>
                <w:lang w:val="sq-AL"/>
              </w:rPr>
              <w:lastRenderedPageBreak/>
              <w:t xml:space="preserve">duhur në baza rast pas rasti për të përfaqësuar Kosovën * në dialogun rajonal </w:t>
            </w:r>
            <w:r w:rsidR="00932698">
              <w:rPr>
                <w:rFonts w:asciiTheme="minorHAnsi" w:hAnsiTheme="minorHAnsi" w:cstheme="minorHAnsi"/>
                <w:lang w:val="sq-AL"/>
              </w:rPr>
              <w:t>mbi</w:t>
            </w:r>
            <w:r w:rsidR="0007387E" w:rsidRPr="00932698">
              <w:rPr>
                <w:rFonts w:asciiTheme="minorHAnsi" w:hAnsiTheme="minorHAnsi" w:cstheme="minorHAnsi"/>
                <w:lang w:val="sq-AL"/>
              </w:rPr>
              <w:t xml:space="preserve"> ankesa</w:t>
            </w:r>
            <w:r w:rsidR="00932698">
              <w:rPr>
                <w:rFonts w:asciiTheme="minorHAnsi" w:hAnsiTheme="minorHAnsi" w:cstheme="minorHAnsi"/>
                <w:lang w:val="sq-AL"/>
              </w:rPr>
              <w:t>t</w:t>
            </w:r>
            <w:r w:rsidR="0007387E" w:rsidRPr="00932698">
              <w:rPr>
                <w:rFonts w:asciiTheme="minorHAnsi" w:hAnsiTheme="minorHAnsi" w:cstheme="minorHAnsi"/>
                <w:lang w:val="sq-AL"/>
              </w:rPr>
              <w:t xml:space="preserve"> dhe mosmarrëveshjet e investitorëve</w:t>
            </w:r>
            <w:r w:rsidRPr="00932698">
              <w:rPr>
                <w:rFonts w:asciiTheme="minorHAnsi" w:eastAsiaTheme="minorEastAsia" w:hAnsiTheme="minorHAnsi" w:cstheme="minorBidi"/>
                <w:szCs w:val="20"/>
                <w:lang w:val="sq-AL"/>
              </w:rPr>
              <w:t>.</w:t>
            </w:r>
          </w:p>
        </w:tc>
        <w:tc>
          <w:tcPr>
            <w:tcW w:w="900" w:type="dxa"/>
            <w:tcBorders>
              <w:bottom w:val="single" w:sz="4" w:space="0" w:color="FFFFFF" w:themeColor="background1"/>
            </w:tcBorders>
          </w:tcPr>
          <w:p w14:paraId="1A188446" w14:textId="291ACF11" w:rsidR="004847AA" w:rsidRPr="00932698" w:rsidRDefault="005978C1" w:rsidP="004847AA">
            <w:pPr>
              <w:spacing w:after="120" w:line="240" w:lineRule="auto"/>
              <w:ind w:firstLine="0"/>
              <w:jc w:val="left"/>
              <w:rPr>
                <w:rFonts w:asciiTheme="minorHAnsi" w:eastAsiaTheme="minorEastAsia" w:hAnsiTheme="minorHAnsi" w:cstheme="minorHAnsi"/>
                <w:szCs w:val="20"/>
                <w:lang w:val="sq-AL"/>
              </w:rPr>
            </w:pPr>
            <w:r w:rsidRPr="00932698">
              <w:rPr>
                <w:rFonts w:asciiTheme="minorHAnsi" w:eastAsiaTheme="minorEastAsia" w:hAnsiTheme="minorHAnsi" w:cstheme="minorHAnsi"/>
                <w:szCs w:val="20"/>
                <w:lang w:val="sq-AL"/>
              </w:rPr>
              <w:lastRenderedPageBreak/>
              <w:t xml:space="preserve">Në vazhdim e </w:t>
            </w:r>
            <w:r w:rsidRPr="00932698">
              <w:rPr>
                <w:rFonts w:asciiTheme="minorHAnsi" w:eastAsiaTheme="minorEastAsia" w:hAnsiTheme="minorHAnsi" w:cstheme="minorHAnsi"/>
                <w:szCs w:val="20"/>
                <w:lang w:val="sq-AL"/>
              </w:rPr>
              <w:lastRenderedPageBreak/>
              <w:t>sipër</w:t>
            </w:r>
          </w:p>
        </w:tc>
        <w:tc>
          <w:tcPr>
            <w:tcW w:w="1260" w:type="dxa"/>
            <w:tcBorders>
              <w:bottom w:val="single" w:sz="4" w:space="0" w:color="FFFFFF" w:themeColor="background1"/>
            </w:tcBorders>
          </w:tcPr>
          <w:p w14:paraId="2F90BE81" w14:textId="79074363" w:rsidR="004847AA" w:rsidRPr="00932698" w:rsidRDefault="006F03A6" w:rsidP="004847AA">
            <w:pPr>
              <w:spacing w:after="120" w:line="240" w:lineRule="auto"/>
              <w:ind w:firstLine="0"/>
              <w:jc w:val="left"/>
              <w:rPr>
                <w:rFonts w:asciiTheme="minorHAnsi" w:eastAsiaTheme="minorEastAsia" w:hAnsiTheme="minorHAnsi" w:cstheme="minorHAnsi"/>
                <w:i/>
                <w:szCs w:val="20"/>
                <w:lang w:val="sq-AL"/>
              </w:rPr>
            </w:pPr>
            <w:r>
              <w:rPr>
                <w:rFonts w:asciiTheme="minorHAnsi" w:eastAsiaTheme="minorEastAsia" w:hAnsiTheme="minorHAnsi" w:cstheme="minorHAnsi"/>
                <w:szCs w:val="20"/>
                <w:lang w:val="sq-AL"/>
              </w:rPr>
              <w:lastRenderedPageBreak/>
              <w:t>KIESA</w:t>
            </w:r>
          </w:p>
        </w:tc>
        <w:tc>
          <w:tcPr>
            <w:tcW w:w="1980" w:type="dxa"/>
            <w:tcBorders>
              <w:bottom w:val="single" w:sz="4" w:space="0" w:color="FFFFFF" w:themeColor="background1"/>
            </w:tcBorders>
          </w:tcPr>
          <w:p w14:paraId="3997403C" w14:textId="191C39E8" w:rsidR="004847AA" w:rsidRPr="00932698" w:rsidRDefault="00124C11" w:rsidP="000A0AFE">
            <w:pPr>
              <w:spacing w:after="120" w:line="240" w:lineRule="auto"/>
              <w:ind w:firstLine="0"/>
              <w:jc w:val="left"/>
              <w:rPr>
                <w:rFonts w:asciiTheme="minorHAnsi" w:eastAsiaTheme="minorEastAsia" w:hAnsiTheme="minorHAnsi" w:cstheme="minorHAnsi"/>
                <w:szCs w:val="20"/>
                <w:lang w:val="sq-AL"/>
              </w:rPr>
            </w:pPr>
            <w:r w:rsidRPr="00932698">
              <w:rPr>
                <w:rFonts w:asciiTheme="minorHAnsi" w:eastAsiaTheme="minorEastAsia" w:hAnsiTheme="minorHAnsi" w:cstheme="minorHAnsi"/>
                <w:szCs w:val="20"/>
                <w:lang w:val="sq-AL"/>
              </w:rPr>
              <w:t xml:space="preserve">Emërimet e përfaqësuesve në baza rast pas rasti në përputhje me temat </w:t>
            </w:r>
            <w:r w:rsidRPr="00932698">
              <w:rPr>
                <w:rFonts w:asciiTheme="minorHAnsi" w:eastAsiaTheme="minorEastAsia" w:hAnsiTheme="minorHAnsi" w:cstheme="minorHAnsi"/>
                <w:szCs w:val="20"/>
                <w:lang w:val="sq-AL"/>
              </w:rPr>
              <w:lastRenderedPageBreak/>
              <w:t xml:space="preserve">e dialogut </w:t>
            </w:r>
            <w:r w:rsidR="000A0AFE" w:rsidRPr="00932698">
              <w:rPr>
                <w:rFonts w:asciiTheme="minorHAnsi" w:eastAsiaTheme="minorEastAsia" w:hAnsiTheme="minorHAnsi" w:cstheme="minorHAnsi"/>
                <w:szCs w:val="20"/>
                <w:lang w:val="sq-AL"/>
              </w:rPr>
              <w:t xml:space="preserve">specifik </w:t>
            </w:r>
            <w:r w:rsidRPr="00932698">
              <w:rPr>
                <w:rFonts w:asciiTheme="minorHAnsi" w:eastAsiaTheme="minorEastAsia" w:hAnsiTheme="minorHAnsi" w:cstheme="minorHAnsi"/>
                <w:szCs w:val="20"/>
                <w:lang w:val="sq-AL"/>
              </w:rPr>
              <w:t xml:space="preserve"> rajonal</w:t>
            </w:r>
            <w:r w:rsidR="004A48DD" w:rsidRPr="00932698">
              <w:rPr>
                <w:rFonts w:asciiTheme="minorHAnsi" w:eastAsiaTheme="minorEastAsia" w:hAnsiTheme="minorHAnsi" w:cstheme="minorHAnsi"/>
                <w:szCs w:val="20"/>
                <w:lang w:val="sq-AL"/>
              </w:rPr>
              <w:t>.</w:t>
            </w:r>
          </w:p>
        </w:tc>
        <w:tc>
          <w:tcPr>
            <w:tcW w:w="1080" w:type="dxa"/>
            <w:tcBorders>
              <w:bottom w:val="single" w:sz="4" w:space="0" w:color="FFFFFF" w:themeColor="background1"/>
            </w:tcBorders>
          </w:tcPr>
          <w:p w14:paraId="7A8822C7" w14:textId="15434CCA" w:rsidR="004847AA" w:rsidRPr="00932698" w:rsidRDefault="00D23D07" w:rsidP="00470679">
            <w:pPr>
              <w:spacing w:after="120" w:line="240" w:lineRule="auto"/>
              <w:ind w:firstLine="0"/>
              <w:jc w:val="left"/>
              <w:rPr>
                <w:rFonts w:asciiTheme="minorHAnsi" w:eastAsiaTheme="minorEastAsia" w:hAnsiTheme="minorHAnsi" w:cstheme="minorHAnsi"/>
                <w:szCs w:val="20"/>
                <w:lang w:val="sq-AL"/>
              </w:rPr>
            </w:pPr>
            <w:r w:rsidRPr="00932698">
              <w:rPr>
                <w:rFonts w:asciiTheme="minorHAnsi" w:hAnsiTheme="minorHAnsi" w:cstheme="minorHAnsi"/>
                <w:sz w:val="18"/>
                <w:lang w:val="sq-AL"/>
              </w:rPr>
              <w:lastRenderedPageBreak/>
              <w:t>KBR</w:t>
            </w:r>
            <w:r w:rsidR="00B12C21" w:rsidRPr="00932698">
              <w:rPr>
                <w:rFonts w:asciiTheme="minorHAnsi" w:eastAsiaTheme="minorEastAsia" w:hAnsiTheme="minorHAnsi" w:cstheme="minorBidi"/>
                <w:szCs w:val="20"/>
                <w:lang w:val="sq-AL"/>
              </w:rPr>
              <w:t xml:space="preserve">, </w:t>
            </w:r>
            <w:r w:rsidR="008D5E84">
              <w:rPr>
                <w:rFonts w:asciiTheme="minorHAnsi" w:eastAsiaTheme="minorEastAsia" w:hAnsiTheme="minorHAnsi" w:cstheme="minorBidi"/>
                <w:szCs w:val="20"/>
                <w:lang w:val="sq-AL"/>
              </w:rPr>
              <w:t>GBB</w:t>
            </w:r>
            <w:r w:rsidR="00470679" w:rsidRPr="00932698">
              <w:rPr>
                <w:rFonts w:asciiTheme="minorHAnsi" w:eastAsiaTheme="minorEastAsia" w:hAnsiTheme="minorHAnsi" w:cstheme="minorBidi"/>
                <w:szCs w:val="20"/>
                <w:lang w:val="sq-AL"/>
              </w:rPr>
              <w:t xml:space="preserve"> - BP PPI</w:t>
            </w:r>
            <w:r w:rsidR="00470679" w:rsidRPr="00932698">
              <w:rPr>
                <w:rFonts w:asciiTheme="minorHAnsi" w:eastAsiaTheme="minorEastAsia" w:hAnsiTheme="minorHAnsi" w:cstheme="minorHAnsi"/>
                <w:szCs w:val="20"/>
                <w:lang w:val="sq-AL"/>
              </w:rPr>
              <w:t xml:space="preserve"> </w:t>
            </w:r>
          </w:p>
        </w:tc>
        <w:tc>
          <w:tcPr>
            <w:tcW w:w="4770" w:type="dxa"/>
          </w:tcPr>
          <w:p w14:paraId="12CF3E6C" w14:textId="6924E0B7" w:rsidR="004847AA" w:rsidRPr="009A66BD" w:rsidRDefault="004847AA" w:rsidP="004847AA">
            <w:pPr>
              <w:spacing w:after="120" w:line="240" w:lineRule="auto"/>
              <w:ind w:firstLine="0"/>
              <w:jc w:val="left"/>
              <w:rPr>
                <w:rFonts w:asciiTheme="minorHAnsi" w:eastAsiaTheme="minorEastAsia" w:hAnsiTheme="minorHAnsi" w:cstheme="minorHAnsi"/>
                <w:szCs w:val="20"/>
                <w:lang w:val="sq-AL"/>
              </w:rPr>
            </w:pPr>
          </w:p>
        </w:tc>
      </w:tr>
    </w:tbl>
    <w:p w14:paraId="326342E9" w14:textId="77777777" w:rsidR="001B1346" w:rsidRPr="009A66BD" w:rsidRDefault="001B1346">
      <w:pPr>
        <w:spacing w:after="160" w:line="259" w:lineRule="auto"/>
        <w:ind w:firstLine="0"/>
        <w:jc w:val="left"/>
        <w:rPr>
          <w:rFonts w:asciiTheme="minorHAnsi" w:eastAsiaTheme="minorEastAsia" w:hAnsiTheme="minorHAnsi" w:cstheme="minorHAnsi"/>
          <w:b/>
          <w:sz w:val="24"/>
          <w:lang w:val="sq-AL"/>
        </w:rPr>
      </w:pPr>
      <w:r w:rsidRPr="009A66BD">
        <w:rPr>
          <w:rFonts w:asciiTheme="minorHAnsi" w:eastAsiaTheme="minorEastAsia" w:hAnsiTheme="minorHAnsi" w:cstheme="minorHAnsi"/>
          <w:b/>
          <w:sz w:val="24"/>
          <w:lang w:val="sq-AL"/>
        </w:rPr>
        <w:lastRenderedPageBreak/>
        <w:br w:type="page"/>
      </w:r>
    </w:p>
    <w:p w14:paraId="76B17DCA" w14:textId="7644BFDC" w:rsidR="008074A6" w:rsidRPr="009A66BD" w:rsidRDefault="00932698" w:rsidP="008074A6">
      <w:pPr>
        <w:spacing w:line="240" w:lineRule="auto"/>
        <w:ind w:firstLine="0"/>
        <w:rPr>
          <w:rFonts w:asciiTheme="minorHAnsi" w:eastAsiaTheme="minorEastAsia" w:hAnsiTheme="minorHAnsi" w:cstheme="minorHAnsi"/>
          <w:b/>
          <w:bCs/>
          <w:color w:val="FFFFFF" w:themeColor="background1"/>
          <w:sz w:val="24"/>
          <w:szCs w:val="22"/>
          <w:lang w:val="sq-AL"/>
        </w:rPr>
      </w:pPr>
      <w:r>
        <w:rPr>
          <w:rFonts w:asciiTheme="minorHAnsi" w:eastAsiaTheme="minorEastAsia" w:hAnsiTheme="minorHAnsi" w:cstheme="minorHAnsi"/>
          <w:b/>
          <w:bCs/>
          <w:sz w:val="24"/>
          <w:szCs w:val="22"/>
          <w:lang w:val="sq-AL"/>
        </w:rPr>
        <w:lastRenderedPageBreak/>
        <w:t xml:space="preserve">Fusha </w:t>
      </w:r>
      <w:r w:rsidR="0054378F" w:rsidRPr="009A66BD">
        <w:rPr>
          <w:rFonts w:asciiTheme="minorHAnsi" w:eastAsiaTheme="minorEastAsia" w:hAnsiTheme="minorHAnsi" w:cstheme="minorHAnsi"/>
          <w:b/>
          <w:bCs/>
          <w:sz w:val="24"/>
          <w:szCs w:val="22"/>
          <w:lang w:val="sq-AL"/>
        </w:rPr>
        <w:t xml:space="preserve">e Politikës </w:t>
      </w:r>
      <w:r w:rsidR="008074A6" w:rsidRPr="009A66BD">
        <w:rPr>
          <w:rFonts w:asciiTheme="minorHAnsi" w:eastAsiaTheme="minorEastAsia" w:hAnsiTheme="minorHAnsi" w:cstheme="minorHAnsi"/>
          <w:b/>
          <w:sz w:val="24"/>
          <w:lang w:val="sq-AL"/>
        </w:rPr>
        <w:t xml:space="preserve">III. </w:t>
      </w:r>
      <w:r>
        <w:rPr>
          <w:rFonts w:asciiTheme="minorHAnsi" w:eastAsiaTheme="minorEastAsia" w:hAnsiTheme="minorHAnsi" w:cstheme="minorHAnsi"/>
          <w:b/>
          <w:sz w:val="24"/>
          <w:lang w:val="sq-AL"/>
        </w:rPr>
        <w:t>T</w:t>
      </w:r>
      <w:r w:rsidR="006822F7">
        <w:rPr>
          <w:rFonts w:asciiTheme="minorHAnsi" w:eastAsiaTheme="minorEastAsia" w:hAnsiTheme="minorHAnsi" w:cstheme="minorHAnsi"/>
          <w:b/>
          <w:sz w:val="24"/>
          <w:lang w:val="sq-AL"/>
        </w:rPr>
        <w:t>ë</w:t>
      </w:r>
      <w:r>
        <w:rPr>
          <w:rFonts w:asciiTheme="minorHAnsi" w:eastAsiaTheme="minorEastAsia" w:hAnsiTheme="minorHAnsi" w:cstheme="minorHAnsi"/>
          <w:b/>
          <w:sz w:val="24"/>
          <w:lang w:val="sq-AL"/>
        </w:rPr>
        <w:t xml:space="preserve">rheqja </w:t>
      </w:r>
      <w:r w:rsidR="0054378F" w:rsidRPr="009A66BD">
        <w:rPr>
          <w:rFonts w:asciiTheme="minorHAnsi" w:eastAsiaTheme="minorEastAsia" w:hAnsiTheme="minorHAnsi" w:cstheme="minorHAnsi"/>
          <w:b/>
          <w:sz w:val="24"/>
          <w:lang w:val="sq-AL"/>
        </w:rPr>
        <w:t>dhe Promovimi i Investimeve</w:t>
      </w:r>
      <w:r w:rsidR="0054378F" w:rsidRPr="009A66BD">
        <w:rPr>
          <w:rStyle w:val="FootnoteReference"/>
          <w:rFonts w:asciiTheme="minorHAnsi" w:eastAsiaTheme="minorEastAsia" w:hAnsiTheme="minorHAnsi" w:cstheme="minorHAnsi"/>
          <w:b/>
          <w:sz w:val="24"/>
          <w:vertAlign w:val="baseline"/>
          <w:lang w:val="sq-AL"/>
        </w:rPr>
        <w:t xml:space="preserve"> </w:t>
      </w:r>
      <w:r w:rsidR="008074A6" w:rsidRPr="009A66BD">
        <w:rPr>
          <w:rStyle w:val="FootnoteReference"/>
          <w:rFonts w:asciiTheme="minorHAnsi" w:eastAsiaTheme="minorEastAsia" w:hAnsiTheme="minorHAnsi" w:cstheme="minorHAnsi"/>
          <w:b/>
          <w:sz w:val="24"/>
          <w:lang w:val="sq-AL"/>
        </w:rPr>
        <w:footnoteReference w:id="8"/>
      </w:r>
    </w:p>
    <w:p w14:paraId="4B33B4D0" w14:textId="77777777" w:rsidR="008074A6" w:rsidRPr="009A66BD" w:rsidRDefault="008074A6">
      <w:pPr>
        <w:rPr>
          <w:rFonts w:asciiTheme="minorHAnsi" w:hAnsiTheme="minorHAnsi" w:cstheme="minorHAnsi"/>
          <w:szCs w:val="20"/>
          <w:lang w:val="sq-AL"/>
        </w:rPr>
      </w:pPr>
    </w:p>
    <w:tbl>
      <w:tblPr>
        <w:tblStyle w:val="GridTable5Dark-Accent11"/>
        <w:tblW w:w="14673" w:type="dxa"/>
        <w:tblInd w:w="5" w:type="dxa"/>
        <w:tblLayout w:type="fixed"/>
        <w:tblCellMar>
          <w:top w:w="115" w:type="dxa"/>
          <w:left w:w="115" w:type="dxa"/>
          <w:bottom w:w="115" w:type="dxa"/>
          <w:right w:w="115" w:type="dxa"/>
        </w:tblCellMar>
        <w:tblLook w:val="0420" w:firstRow="1" w:lastRow="0" w:firstColumn="0" w:lastColumn="0" w:noHBand="0" w:noVBand="1"/>
      </w:tblPr>
      <w:tblGrid>
        <w:gridCol w:w="2335"/>
        <w:gridCol w:w="2610"/>
        <w:gridCol w:w="900"/>
        <w:gridCol w:w="1260"/>
        <w:gridCol w:w="1980"/>
        <w:gridCol w:w="1080"/>
        <w:gridCol w:w="4508"/>
      </w:tblGrid>
      <w:tr w:rsidR="00B9411E" w:rsidRPr="009A66BD" w14:paraId="6EA5B4FF" w14:textId="77777777" w:rsidTr="005905EF">
        <w:trPr>
          <w:cnfStyle w:val="100000000000" w:firstRow="1" w:lastRow="0" w:firstColumn="0" w:lastColumn="0" w:oddVBand="0" w:evenVBand="0" w:oddHBand="0" w:evenHBand="0" w:firstRowFirstColumn="0" w:firstRowLastColumn="0" w:lastRowFirstColumn="0" w:lastRowLastColumn="0"/>
          <w:trHeight w:val="720"/>
        </w:trPr>
        <w:tc>
          <w:tcPr>
            <w:tcW w:w="2335" w:type="dxa"/>
            <w:tcBorders>
              <w:top w:val="nil"/>
              <w:left w:val="nil"/>
              <w:bottom w:val="nil"/>
            </w:tcBorders>
            <w:vAlign w:val="center"/>
          </w:tcPr>
          <w:p w14:paraId="4473E6A5" w14:textId="41CD5FD8" w:rsidR="00B9411E" w:rsidRPr="009A66BD" w:rsidRDefault="00B9411E" w:rsidP="00D43D3C">
            <w:pPr>
              <w:spacing w:line="240" w:lineRule="auto"/>
              <w:ind w:firstLine="0"/>
              <w:jc w:val="center"/>
              <w:rPr>
                <w:rFonts w:asciiTheme="minorHAnsi" w:eastAsiaTheme="minorEastAsia" w:hAnsiTheme="minorHAnsi" w:cstheme="minorHAnsi"/>
                <w:b w:val="0"/>
                <w:bCs w:val="0"/>
                <w:szCs w:val="20"/>
                <w:lang w:val="sq-AL"/>
              </w:rPr>
            </w:pPr>
            <w:r w:rsidRPr="009A66BD">
              <w:rPr>
                <w:rFonts w:asciiTheme="minorHAnsi" w:eastAsiaTheme="minorEastAsia" w:hAnsiTheme="minorHAnsi" w:cstheme="majorBidi"/>
                <w:szCs w:val="20"/>
                <w:lang w:val="sq-AL"/>
              </w:rPr>
              <w:t>Tema e Reformës  / Angazhimi i RIRA-së</w:t>
            </w:r>
          </w:p>
        </w:tc>
        <w:tc>
          <w:tcPr>
            <w:tcW w:w="2610" w:type="dxa"/>
            <w:tcBorders>
              <w:top w:val="nil"/>
              <w:bottom w:val="nil"/>
            </w:tcBorders>
            <w:vAlign w:val="center"/>
          </w:tcPr>
          <w:p w14:paraId="736E557A" w14:textId="5C1E8D06" w:rsidR="00B9411E" w:rsidRPr="009A66BD" w:rsidRDefault="00B9411E" w:rsidP="006D0E53">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Veprimet e PVRI-së</w:t>
            </w:r>
          </w:p>
        </w:tc>
        <w:tc>
          <w:tcPr>
            <w:tcW w:w="900" w:type="dxa"/>
            <w:tcBorders>
              <w:top w:val="nil"/>
              <w:bottom w:val="nil"/>
            </w:tcBorders>
            <w:vAlign w:val="center"/>
          </w:tcPr>
          <w:p w14:paraId="1B730CB9" w14:textId="10E6AC5E" w:rsidR="00B9411E" w:rsidRPr="009A66BD" w:rsidRDefault="00B9411E" w:rsidP="006D0E53">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Afati kohor</w:t>
            </w:r>
          </w:p>
        </w:tc>
        <w:tc>
          <w:tcPr>
            <w:tcW w:w="1260" w:type="dxa"/>
            <w:tcBorders>
              <w:top w:val="nil"/>
              <w:bottom w:val="nil"/>
            </w:tcBorders>
            <w:vAlign w:val="center"/>
          </w:tcPr>
          <w:p w14:paraId="6B78E2F3" w14:textId="557849A8" w:rsidR="00B9411E" w:rsidRPr="009A66BD" w:rsidRDefault="00B9411E" w:rsidP="006D0E53">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Agjencia udhëheqëse</w:t>
            </w:r>
          </w:p>
        </w:tc>
        <w:tc>
          <w:tcPr>
            <w:tcW w:w="1980" w:type="dxa"/>
            <w:tcBorders>
              <w:top w:val="nil"/>
              <w:bottom w:val="nil"/>
            </w:tcBorders>
            <w:vAlign w:val="center"/>
          </w:tcPr>
          <w:p w14:paraId="17A76F81" w14:textId="7DBCF5BB" w:rsidR="00B9411E" w:rsidRPr="009A66BD" w:rsidRDefault="00B9411E" w:rsidP="006D0E53">
            <w:pPr>
              <w:spacing w:line="240" w:lineRule="auto"/>
              <w:ind w:firstLine="0"/>
              <w:jc w:val="center"/>
              <w:rPr>
                <w:rFonts w:asciiTheme="minorHAnsi" w:eastAsiaTheme="minorEastAsia" w:hAnsiTheme="minorHAnsi" w:cstheme="minorHAnsi"/>
                <w:b w:val="0"/>
                <w:bCs w:val="0"/>
                <w:szCs w:val="20"/>
                <w:lang w:val="sq-AL"/>
              </w:rPr>
            </w:pPr>
            <w:r w:rsidRPr="009A66BD">
              <w:rPr>
                <w:rFonts w:asciiTheme="minorHAnsi" w:eastAsiaTheme="minorEastAsia" w:hAnsiTheme="minorHAnsi" w:cstheme="minorHAnsi"/>
                <w:szCs w:val="20"/>
                <w:lang w:val="sq-AL"/>
              </w:rPr>
              <w:t>Rezultati</w:t>
            </w:r>
          </w:p>
        </w:tc>
        <w:tc>
          <w:tcPr>
            <w:tcW w:w="1080" w:type="dxa"/>
            <w:tcBorders>
              <w:top w:val="nil"/>
              <w:bottom w:val="nil"/>
            </w:tcBorders>
            <w:vAlign w:val="center"/>
          </w:tcPr>
          <w:p w14:paraId="0D6D58A5" w14:textId="155FAF4A" w:rsidR="00B9411E" w:rsidRPr="009A66BD" w:rsidRDefault="00B9411E" w:rsidP="006D0E53">
            <w:pPr>
              <w:spacing w:line="240" w:lineRule="auto"/>
              <w:ind w:firstLine="0"/>
              <w:jc w:val="center"/>
              <w:rPr>
                <w:rFonts w:asciiTheme="minorHAnsi" w:eastAsiaTheme="minorEastAsia" w:hAnsiTheme="minorHAnsi" w:cstheme="minorHAnsi"/>
                <w:b w:val="0"/>
                <w:bCs w:val="0"/>
                <w:szCs w:val="20"/>
                <w:lang w:val="sq-AL"/>
              </w:rPr>
            </w:pPr>
            <w:r w:rsidRPr="009A66BD">
              <w:rPr>
                <w:rFonts w:asciiTheme="minorHAnsi" w:eastAsiaTheme="minorEastAsia" w:hAnsiTheme="minorHAnsi" w:cstheme="minorHAnsi"/>
                <w:szCs w:val="20"/>
                <w:lang w:val="sq-AL"/>
              </w:rPr>
              <w:t>Mbështetja e donatorëve</w:t>
            </w:r>
          </w:p>
        </w:tc>
        <w:tc>
          <w:tcPr>
            <w:tcW w:w="4508" w:type="dxa"/>
            <w:tcBorders>
              <w:top w:val="nil"/>
              <w:bottom w:val="nil"/>
              <w:right w:val="nil"/>
            </w:tcBorders>
            <w:vAlign w:val="center"/>
          </w:tcPr>
          <w:p w14:paraId="74229B1E" w14:textId="790E3895" w:rsidR="00B9411E" w:rsidRPr="009A66BD" w:rsidRDefault="00B9411E" w:rsidP="006D0E53">
            <w:pPr>
              <w:spacing w:line="240" w:lineRule="auto"/>
              <w:ind w:firstLine="0"/>
              <w:jc w:val="center"/>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Komentet</w:t>
            </w:r>
          </w:p>
        </w:tc>
      </w:tr>
      <w:tr w:rsidR="006D0E53" w:rsidRPr="009A66BD" w14:paraId="186DFFFE" w14:textId="77777777" w:rsidTr="3A25C5E1">
        <w:trPr>
          <w:cnfStyle w:val="000000100000" w:firstRow="0" w:lastRow="0" w:firstColumn="0" w:lastColumn="0" w:oddVBand="0" w:evenVBand="0" w:oddHBand="1" w:evenHBand="0" w:firstRowFirstColumn="0" w:firstRowLastColumn="0" w:lastRowFirstColumn="0" w:lastRowLastColumn="0"/>
          <w:trHeight w:val="271"/>
        </w:trPr>
        <w:tc>
          <w:tcPr>
            <w:tcW w:w="14673" w:type="dxa"/>
            <w:gridSpan w:val="7"/>
          </w:tcPr>
          <w:p w14:paraId="661D9870" w14:textId="0352DBEE" w:rsidR="006D0E53" w:rsidRPr="009A66BD" w:rsidRDefault="006D0E53" w:rsidP="006D0E5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i/>
                <w:iCs/>
                <w:szCs w:val="20"/>
                <w:lang w:val="sq-AL"/>
              </w:rPr>
              <w:t xml:space="preserve">5. </w:t>
            </w:r>
            <w:r w:rsidR="00085A97" w:rsidRPr="009A66BD">
              <w:rPr>
                <w:rFonts w:asciiTheme="minorHAnsi" w:eastAsiaTheme="minorEastAsia" w:hAnsiTheme="minorHAnsi" w:cstheme="minorHAnsi"/>
                <w:i/>
                <w:iCs/>
                <w:szCs w:val="20"/>
                <w:lang w:val="sq-AL"/>
              </w:rPr>
              <w:t>Zhvillimi i një iniciative për promovimin e investimeve rajonale</w:t>
            </w:r>
          </w:p>
        </w:tc>
      </w:tr>
      <w:tr w:rsidR="000E1E6F" w:rsidRPr="00612497" w14:paraId="06D39705" w14:textId="77777777" w:rsidTr="00D43D3C">
        <w:trPr>
          <w:trHeight w:val="1014"/>
        </w:trPr>
        <w:tc>
          <w:tcPr>
            <w:tcW w:w="2335" w:type="dxa"/>
            <w:vMerge w:val="restart"/>
          </w:tcPr>
          <w:p w14:paraId="4F027E0D" w14:textId="132823CF" w:rsidR="000E1E6F" w:rsidRPr="009A66BD" w:rsidRDefault="00C811D1" w:rsidP="00C811D1">
            <w:pPr>
              <w:spacing w:after="120" w:line="240" w:lineRule="auto"/>
              <w:ind w:left="520" w:firstLine="0"/>
              <w:jc w:val="left"/>
              <w:rPr>
                <w:rFonts w:asciiTheme="majorHAnsi" w:eastAsiaTheme="minorEastAsia" w:hAnsiTheme="majorHAnsi" w:cstheme="majorHAnsi"/>
                <w:szCs w:val="20"/>
                <w:lang w:val="sq-AL"/>
              </w:rPr>
            </w:pPr>
            <w:r>
              <w:rPr>
                <w:rFonts w:asciiTheme="majorHAnsi" w:eastAsiaTheme="minorEastAsia" w:hAnsiTheme="majorHAnsi" w:cstheme="majorHAnsi"/>
                <w:i/>
                <w:iCs/>
                <w:szCs w:val="20"/>
                <w:lang w:val="sq-AL"/>
              </w:rPr>
              <w:t xml:space="preserve">5.1. </w:t>
            </w:r>
            <w:r w:rsidRPr="00C811D1">
              <w:rPr>
                <w:rFonts w:asciiTheme="majorHAnsi" w:eastAsiaTheme="minorEastAsia" w:hAnsiTheme="majorHAnsi" w:cstheme="majorHAnsi"/>
                <w:i/>
                <w:iCs/>
                <w:szCs w:val="20"/>
                <w:lang w:val="sq-AL"/>
              </w:rPr>
              <w:t xml:space="preserve">Krijimi i një kornize rajonale për koordinimin dhe shkëmbimin e informacionit </w:t>
            </w:r>
            <w:r>
              <w:rPr>
                <w:rFonts w:asciiTheme="majorHAnsi" w:eastAsiaTheme="minorEastAsia" w:hAnsiTheme="majorHAnsi" w:cstheme="majorHAnsi"/>
                <w:i/>
                <w:iCs/>
                <w:szCs w:val="20"/>
                <w:lang w:val="sq-AL"/>
              </w:rPr>
              <w:t xml:space="preserve">midis </w:t>
            </w:r>
            <w:r w:rsidRPr="00C811D1">
              <w:rPr>
                <w:rFonts w:asciiTheme="majorHAnsi" w:eastAsiaTheme="minorEastAsia" w:hAnsiTheme="majorHAnsi" w:cstheme="majorHAnsi"/>
                <w:i/>
                <w:iCs/>
                <w:szCs w:val="20"/>
                <w:lang w:val="sq-AL"/>
              </w:rPr>
              <w:t>ndërmjetësve të promovimit të investimeve (IPI) ose agjencive të promovimit të investimeve (IPA) të ekonomive individuale, duke shqyrtuar mundësinë e krijimit të një njësie koordinuese brenda strukturave ekzistuese rajonale.</w:t>
            </w:r>
            <w:r w:rsidR="0004374E" w:rsidRPr="009A66BD">
              <w:rPr>
                <w:rFonts w:asciiTheme="majorHAnsi" w:eastAsiaTheme="minorEastAsia" w:hAnsiTheme="majorHAnsi" w:cstheme="majorHAnsi"/>
                <w:i/>
                <w:iCs/>
                <w:szCs w:val="20"/>
                <w:lang w:val="sq-AL"/>
              </w:rPr>
              <w:t xml:space="preserve"> </w:t>
            </w:r>
          </w:p>
        </w:tc>
        <w:tc>
          <w:tcPr>
            <w:tcW w:w="2610" w:type="dxa"/>
          </w:tcPr>
          <w:p w14:paraId="2DAA9D34" w14:textId="5810282F" w:rsidR="000E1E6F" w:rsidRPr="009A66BD" w:rsidRDefault="000E1E6F" w:rsidP="00C811D1">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5.1.1. </w:t>
            </w:r>
            <w:r w:rsidR="0004374E" w:rsidRPr="009A66BD">
              <w:rPr>
                <w:rFonts w:asciiTheme="minorHAnsi" w:eastAsiaTheme="minorEastAsia" w:hAnsiTheme="minorHAnsi" w:cstheme="minorHAnsi"/>
                <w:szCs w:val="20"/>
                <w:lang w:val="sq-AL"/>
              </w:rPr>
              <w:t xml:space="preserve">Formalizimi i kornizës rajonale për </w:t>
            </w:r>
            <w:r w:rsidR="00C811D1">
              <w:rPr>
                <w:rFonts w:asciiTheme="minorHAnsi" w:eastAsiaTheme="minorEastAsia" w:hAnsiTheme="minorHAnsi" w:cstheme="minorHAnsi"/>
                <w:szCs w:val="20"/>
                <w:lang w:val="sq-AL"/>
              </w:rPr>
              <w:t xml:space="preserve">koordinimin dhe </w:t>
            </w:r>
            <w:r w:rsidR="0004374E" w:rsidRPr="009A66BD">
              <w:rPr>
                <w:rFonts w:asciiTheme="minorHAnsi" w:eastAsiaTheme="minorEastAsia" w:hAnsiTheme="minorHAnsi" w:cstheme="minorHAnsi"/>
                <w:szCs w:val="20"/>
                <w:lang w:val="sq-AL"/>
              </w:rPr>
              <w:t xml:space="preserve">shkëmbimin e informacionit duke krijuar një njësi koordinimi brenda strukturave ekzistuese dhe emërimin e stafit të duhur </w:t>
            </w:r>
            <w:r w:rsidR="00C811D1">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C811D1">
              <w:rPr>
                <w:rFonts w:asciiTheme="minorHAnsi" w:eastAsiaTheme="minorEastAsia" w:hAnsiTheme="minorHAnsi" w:cstheme="minorHAnsi"/>
                <w:szCs w:val="20"/>
                <w:lang w:val="sq-AL"/>
              </w:rPr>
              <w:t xml:space="preserve"> nivelit </w:t>
            </w:r>
            <w:r w:rsidR="006F03A6">
              <w:rPr>
                <w:rFonts w:asciiTheme="minorHAnsi" w:eastAsiaTheme="minorEastAsia" w:hAnsiTheme="minorHAnsi" w:cstheme="minorHAnsi"/>
                <w:szCs w:val="20"/>
                <w:lang w:val="sq-AL"/>
              </w:rPr>
              <w:t>teknik nga KIESA</w:t>
            </w:r>
            <w:r w:rsidR="0004374E" w:rsidRPr="009A66BD">
              <w:rPr>
                <w:rFonts w:asciiTheme="minorHAnsi" w:eastAsiaTheme="minorEastAsia" w:hAnsiTheme="minorHAnsi" w:cstheme="minorHAnsi"/>
                <w:szCs w:val="20"/>
                <w:lang w:val="sq-AL"/>
              </w:rPr>
              <w:t xml:space="preserve">* </w:t>
            </w:r>
            <w:r w:rsidR="006F03A6">
              <w:rPr>
                <w:rFonts w:asciiTheme="minorHAnsi" w:eastAsiaTheme="minorEastAsia" w:hAnsiTheme="minorHAnsi" w:cstheme="minorHAnsi"/>
                <w:szCs w:val="20"/>
                <w:lang w:val="sq-AL"/>
              </w:rPr>
              <w:t>për të përfaqësuar Kosovën</w:t>
            </w:r>
            <w:r w:rsidR="0004374E" w:rsidRPr="009A66BD">
              <w:rPr>
                <w:rFonts w:asciiTheme="minorHAnsi" w:eastAsiaTheme="minorEastAsia" w:hAnsiTheme="minorHAnsi" w:cstheme="minorHAnsi"/>
                <w:szCs w:val="20"/>
                <w:lang w:val="sq-AL"/>
              </w:rPr>
              <w:t>* në dialogun rajonal</w:t>
            </w:r>
            <w:r w:rsidR="00C0199C" w:rsidRPr="009A66BD">
              <w:rPr>
                <w:rFonts w:asciiTheme="minorHAnsi" w:eastAsiaTheme="minorEastAsia" w:hAnsiTheme="minorHAnsi" w:cstheme="minorBidi"/>
                <w:szCs w:val="20"/>
                <w:lang w:val="sq-AL"/>
              </w:rPr>
              <w:t>.</w:t>
            </w:r>
            <w:r w:rsidRPr="009A66BD">
              <w:rPr>
                <w:rFonts w:asciiTheme="minorHAnsi" w:eastAsiaTheme="minorEastAsia" w:hAnsiTheme="minorHAnsi" w:cstheme="minorHAnsi"/>
                <w:szCs w:val="20"/>
                <w:lang w:val="sq-AL"/>
              </w:rPr>
              <w:t xml:space="preserve"> </w:t>
            </w:r>
          </w:p>
        </w:tc>
        <w:tc>
          <w:tcPr>
            <w:tcW w:w="900" w:type="dxa"/>
          </w:tcPr>
          <w:p w14:paraId="055D9DA0" w14:textId="1E0ED458" w:rsidR="000E1E6F" w:rsidRPr="009A66BD" w:rsidRDefault="0006464E"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Dhjetor</w:t>
            </w:r>
            <w:r w:rsidR="009661AB" w:rsidRPr="009A66BD">
              <w:rPr>
                <w:rFonts w:asciiTheme="minorHAnsi" w:eastAsiaTheme="minorEastAsia" w:hAnsiTheme="minorHAnsi" w:cstheme="minorHAnsi"/>
                <w:szCs w:val="20"/>
                <w:lang w:val="sq-AL"/>
              </w:rPr>
              <w:t xml:space="preserve"> 2018</w:t>
            </w:r>
          </w:p>
        </w:tc>
        <w:tc>
          <w:tcPr>
            <w:tcW w:w="1260" w:type="dxa"/>
          </w:tcPr>
          <w:p w14:paraId="7374AC68" w14:textId="731E0E0B" w:rsidR="000E1E6F" w:rsidRPr="009A66BD" w:rsidRDefault="005B2877"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5E071534" w14:textId="23311463" w:rsidR="000E1E6F" w:rsidRPr="009A66BD" w:rsidRDefault="00934610" w:rsidP="00C811D1">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 xml:space="preserve">Emërimet e përfaqësuesve në baza rast pas rasti sipas temave të dialogut </w:t>
            </w:r>
            <w:r w:rsidR="00C811D1">
              <w:rPr>
                <w:rFonts w:asciiTheme="minorHAnsi" w:eastAsiaTheme="minorEastAsia" w:hAnsiTheme="minorHAnsi" w:cstheme="minorBidi"/>
                <w:szCs w:val="20"/>
                <w:lang w:val="sq-AL"/>
              </w:rPr>
              <w:t>specifik</w:t>
            </w:r>
            <w:r w:rsidRPr="009A66BD">
              <w:rPr>
                <w:rFonts w:asciiTheme="minorHAnsi" w:eastAsiaTheme="minorEastAsia" w:hAnsiTheme="minorHAnsi" w:cstheme="minorBidi"/>
                <w:szCs w:val="20"/>
                <w:lang w:val="sq-AL"/>
              </w:rPr>
              <w:t xml:space="preserve"> rajonal</w:t>
            </w:r>
            <w:r w:rsidR="00F9112F" w:rsidRPr="009A66BD">
              <w:rPr>
                <w:rFonts w:asciiTheme="minorHAnsi" w:eastAsiaTheme="minorEastAsia" w:hAnsiTheme="minorHAnsi" w:cstheme="minorBidi"/>
                <w:szCs w:val="20"/>
                <w:lang w:val="sq-AL"/>
              </w:rPr>
              <w:t>.</w:t>
            </w:r>
          </w:p>
        </w:tc>
        <w:tc>
          <w:tcPr>
            <w:tcW w:w="1080" w:type="dxa"/>
          </w:tcPr>
          <w:p w14:paraId="3F6FC206" w14:textId="43F91971" w:rsidR="000E1E6F" w:rsidRPr="009A66BD" w:rsidRDefault="00045F5A"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4508" w:type="dxa"/>
          </w:tcPr>
          <w:p w14:paraId="3D732EB4" w14:textId="5D0F238E" w:rsidR="000E1E6F" w:rsidRPr="009A66BD" w:rsidRDefault="005978C1" w:rsidP="00C811D1">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Dialogu rajonal i orientuar </w:t>
            </w:r>
            <w:r w:rsidR="00C811D1">
              <w:rPr>
                <w:rFonts w:asciiTheme="minorHAnsi" w:eastAsiaTheme="minorEastAsia" w:hAnsiTheme="minorHAnsi" w:cstheme="minorHAnsi"/>
                <w:i/>
                <w:szCs w:val="20"/>
                <w:lang w:val="sq-AL"/>
              </w:rPr>
              <w:t xml:space="preserve">drejt </w:t>
            </w:r>
            <w:r w:rsidRPr="009A66BD">
              <w:rPr>
                <w:rFonts w:asciiTheme="minorHAnsi" w:eastAsiaTheme="minorEastAsia" w:hAnsiTheme="minorHAnsi" w:cstheme="minorHAnsi"/>
                <w:i/>
                <w:szCs w:val="20"/>
                <w:lang w:val="sq-AL"/>
              </w:rPr>
              <w:t xml:space="preserve"> politika</w:t>
            </w:r>
            <w:r w:rsidR="00C811D1">
              <w:rPr>
                <w:rFonts w:asciiTheme="minorHAnsi" w:eastAsiaTheme="minorEastAsia" w:hAnsiTheme="minorHAnsi" w:cstheme="minorHAnsi"/>
                <w:i/>
                <w:szCs w:val="20"/>
                <w:lang w:val="sq-AL"/>
              </w:rPr>
              <w:t>ve</w:t>
            </w:r>
            <w:r w:rsidRPr="009A66BD">
              <w:rPr>
                <w:rFonts w:asciiTheme="minorHAnsi" w:eastAsiaTheme="minorEastAsia" w:hAnsiTheme="minorHAnsi" w:cstheme="minorHAnsi"/>
                <w:i/>
                <w:szCs w:val="20"/>
                <w:lang w:val="sq-AL"/>
              </w:rPr>
              <w:t xml:space="preserve"> mbi promovimin e investimeve ve</w:t>
            </w:r>
            <w:r w:rsidR="00C811D1">
              <w:rPr>
                <w:rFonts w:asciiTheme="minorHAnsi" w:eastAsiaTheme="minorEastAsia" w:hAnsiTheme="minorHAnsi" w:cstheme="minorHAnsi"/>
                <w:i/>
                <w:szCs w:val="20"/>
                <w:lang w:val="sq-AL"/>
              </w:rPr>
              <w:t>ç</w:t>
            </w:r>
            <w:r w:rsidRPr="009A66BD">
              <w:rPr>
                <w:rFonts w:asciiTheme="minorHAnsi" w:eastAsiaTheme="minorEastAsia" w:hAnsiTheme="minorHAnsi" w:cstheme="minorHAnsi"/>
                <w:i/>
                <w:szCs w:val="20"/>
                <w:lang w:val="sq-AL"/>
              </w:rPr>
              <w:t>se ekziston në kuadër të Komitetit të Investimeve të Evropës Juglindore dhe kjo strukturë ekzistuese do të përdoret për qëllimet e kësaj pike të veprimit</w:t>
            </w:r>
            <w:r w:rsidR="003F2D40" w:rsidRPr="009A66BD">
              <w:rPr>
                <w:rFonts w:asciiTheme="minorHAnsi" w:eastAsiaTheme="minorEastAsia" w:hAnsiTheme="minorHAnsi" w:cstheme="minorHAnsi"/>
                <w:i/>
                <w:szCs w:val="20"/>
                <w:lang w:val="sq-AL"/>
              </w:rPr>
              <w:t>.</w:t>
            </w:r>
          </w:p>
        </w:tc>
      </w:tr>
      <w:tr w:rsidR="000E1E6F" w:rsidRPr="00612497" w14:paraId="02EFA4FC"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7E55564E" w14:textId="77777777" w:rsidR="000E1E6F" w:rsidRPr="009A66BD" w:rsidRDefault="000E1E6F" w:rsidP="000E1E6F">
            <w:pPr>
              <w:spacing w:after="120" w:line="240" w:lineRule="auto"/>
              <w:ind w:firstLine="0"/>
              <w:jc w:val="left"/>
              <w:rPr>
                <w:rFonts w:asciiTheme="majorHAnsi" w:eastAsiaTheme="minorHAnsi" w:hAnsiTheme="majorHAnsi" w:cstheme="majorHAnsi"/>
                <w:szCs w:val="20"/>
                <w:lang w:val="sq-AL"/>
              </w:rPr>
            </w:pPr>
          </w:p>
        </w:tc>
        <w:tc>
          <w:tcPr>
            <w:tcW w:w="2610" w:type="dxa"/>
          </w:tcPr>
          <w:p w14:paraId="2ADCF715" w14:textId="36800901" w:rsidR="000E1E6F" w:rsidRPr="009A66BD" w:rsidRDefault="003F2D40" w:rsidP="00C811D1">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5.1.2. </w:t>
            </w:r>
            <w:r w:rsidR="00EF45DA" w:rsidRPr="009A66BD">
              <w:rPr>
                <w:rFonts w:asciiTheme="minorHAnsi" w:eastAsiaTheme="minorEastAsia" w:hAnsiTheme="minorHAnsi" w:cstheme="minorHAnsi"/>
                <w:szCs w:val="20"/>
                <w:lang w:val="sq-AL"/>
              </w:rPr>
              <w:t xml:space="preserve">Propozimi i një </w:t>
            </w:r>
            <w:r w:rsidR="00C811D1">
              <w:rPr>
                <w:rFonts w:asciiTheme="minorHAnsi" w:eastAsiaTheme="minorEastAsia" w:hAnsiTheme="minorHAnsi" w:cstheme="minorHAnsi"/>
                <w:szCs w:val="20"/>
                <w:lang w:val="sq-AL"/>
              </w:rPr>
              <w:t>grupi</w:t>
            </w:r>
            <w:r w:rsidR="00EF45DA" w:rsidRPr="009A66BD">
              <w:rPr>
                <w:rFonts w:asciiTheme="minorHAnsi" w:eastAsiaTheme="minorEastAsia" w:hAnsiTheme="minorHAnsi" w:cstheme="minorHAnsi"/>
                <w:szCs w:val="20"/>
                <w:lang w:val="sq-AL"/>
              </w:rPr>
              <w:t xml:space="preserve"> temash për diskutim, që konsiderohen të dobishme dhe kontribuojnë sipas nevojës në diskutimet dhe konsideratat për të lehtësuar funksionimin efektiv të dialogut rajonal për </w:t>
            </w:r>
            <w:r w:rsidR="00C811D1">
              <w:rPr>
                <w:rFonts w:asciiTheme="minorHAnsi" w:eastAsiaTheme="minorEastAsia" w:hAnsiTheme="minorHAnsi" w:cstheme="minorHAnsi"/>
                <w:szCs w:val="20"/>
                <w:lang w:val="sq-AL"/>
              </w:rPr>
              <w:t xml:space="preserve">promovimin </w:t>
            </w:r>
            <w:r w:rsidR="00EF45DA" w:rsidRPr="009A66BD">
              <w:rPr>
                <w:rFonts w:asciiTheme="minorHAnsi" w:eastAsiaTheme="minorEastAsia" w:hAnsiTheme="minorHAnsi" w:cstheme="minorHAnsi"/>
                <w:szCs w:val="20"/>
                <w:lang w:val="sq-AL"/>
              </w:rPr>
              <w:t>e investimeve</w:t>
            </w:r>
            <w:r w:rsidRPr="009A66BD">
              <w:rPr>
                <w:rFonts w:asciiTheme="minorHAnsi" w:eastAsiaTheme="minorEastAsia" w:hAnsiTheme="minorHAnsi" w:cstheme="minorHAnsi"/>
                <w:szCs w:val="20"/>
                <w:lang w:val="sq-AL"/>
              </w:rPr>
              <w:t xml:space="preserve">.   </w:t>
            </w:r>
          </w:p>
        </w:tc>
        <w:tc>
          <w:tcPr>
            <w:tcW w:w="900" w:type="dxa"/>
          </w:tcPr>
          <w:p w14:paraId="79FFA722" w14:textId="6D367421" w:rsidR="000E1E6F" w:rsidRPr="009A66BD" w:rsidRDefault="000E1E6F"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2019 -2020</w:t>
            </w:r>
          </w:p>
        </w:tc>
        <w:tc>
          <w:tcPr>
            <w:tcW w:w="1260" w:type="dxa"/>
          </w:tcPr>
          <w:p w14:paraId="5FBBC0A1" w14:textId="2010ECD4" w:rsidR="000E1E6F" w:rsidRPr="009A66BD" w:rsidRDefault="005B2877"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40D9D54D" w14:textId="573F3180" w:rsidR="000E1E6F" w:rsidRPr="009A66BD" w:rsidRDefault="00A4068A" w:rsidP="00C811D1">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Procesverbalet e takime</w:t>
            </w:r>
            <w:r w:rsidR="00C811D1">
              <w:rPr>
                <w:rFonts w:asciiTheme="minorHAnsi" w:eastAsiaTheme="minorEastAsia" w:hAnsiTheme="minorHAnsi" w:cstheme="minorHAnsi"/>
                <w:szCs w:val="20"/>
                <w:lang w:val="sq-AL"/>
              </w:rPr>
              <w:t>ve</w:t>
            </w:r>
            <w:r w:rsidRPr="009A66BD">
              <w:rPr>
                <w:rFonts w:asciiTheme="minorHAnsi" w:eastAsiaTheme="minorEastAsia" w:hAnsiTheme="minorHAnsi" w:cstheme="minorHAnsi"/>
                <w:szCs w:val="20"/>
                <w:lang w:val="sq-AL"/>
              </w:rPr>
              <w:t xml:space="preserve"> dhe marrëveshjet e takimeve periodike</w:t>
            </w:r>
            <w:r w:rsidR="003A4CEC" w:rsidRPr="009A66BD">
              <w:rPr>
                <w:rFonts w:asciiTheme="minorHAnsi" w:eastAsiaTheme="minorEastAsia" w:hAnsiTheme="minorHAnsi" w:cstheme="minorHAnsi"/>
                <w:szCs w:val="20"/>
                <w:lang w:val="sq-AL"/>
              </w:rPr>
              <w:t>.</w:t>
            </w:r>
          </w:p>
        </w:tc>
        <w:tc>
          <w:tcPr>
            <w:tcW w:w="1080" w:type="dxa"/>
          </w:tcPr>
          <w:p w14:paraId="5A8C484F" w14:textId="6F980D13" w:rsidR="000E1E6F" w:rsidRPr="009A66BD" w:rsidRDefault="00D23D07"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hAnsiTheme="minorHAnsi" w:cstheme="minorHAnsi"/>
                <w:sz w:val="18"/>
                <w:lang w:val="sq-AL"/>
              </w:rPr>
              <w:t>KBR</w:t>
            </w:r>
            <w:r w:rsidR="009661AB" w:rsidRPr="009A66BD">
              <w:rPr>
                <w:rFonts w:asciiTheme="minorHAnsi" w:eastAsiaTheme="minorEastAsia" w:hAnsiTheme="minorHAnsi" w:cstheme="minorHAnsi"/>
                <w:szCs w:val="20"/>
                <w:lang w:val="sq-AL"/>
              </w:rPr>
              <w:t xml:space="preserve"> /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52BEF5FC" w14:textId="6B981CA9" w:rsidR="000E1E6F" w:rsidRPr="009A66BD" w:rsidRDefault="005978C1" w:rsidP="000E1E6F">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Aktiviteti në vazhdim e sipër</w:t>
            </w:r>
            <w:r w:rsidR="000E1E6F" w:rsidRPr="009A66BD">
              <w:rPr>
                <w:rFonts w:asciiTheme="minorHAnsi" w:eastAsiaTheme="minorEastAsia" w:hAnsiTheme="minorHAnsi" w:cstheme="minorHAnsi"/>
                <w:i/>
                <w:szCs w:val="20"/>
                <w:lang w:val="sq-AL"/>
              </w:rPr>
              <w:t>.</w:t>
            </w:r>
          </w:p>
        </w:tc>
      </w:tr>
      <w:tr w:rsidR="00D35C40" w:rsidRPr="00612497" w14:paraId="660EEE1D" w14:textId="77777777" w:rsidTr="00D43D3C">
        <w:trPr>
          <w:trHeight w:val="1015"/>
        </w:trPr>
        <w:tc>
          <w:tcPr>
            <w:tcW w:w="2335" w:type="dxa"/>
            <w:vMerge w:val="restart"/>
          </w:tcPr>
          <w:p w14:paraId="406682CA" w14:textId="41408A6F" w:rsidR="00D35C40" w:rsidRPr="009A66BD" w:rsidRDefault="00D35C40" w:rsidP="00C811D1">
            <w:pPr>
              <w:spacing w:after="120" w:line="240" w:lineRule="auto"/>
              <w:ind w:left="520"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lastRenderedPageBreak/>
              <w:t xml:space="preserve">5.2 </w:t>
            </w:r>
            <w:r w:rsidR="0030190C" w:rsidRPr="009A66BD">
              <w:rPr>
                <w:rFonts w:asciiTheme="majorHAnsi" w:eastAsiaTheme="minorEastAsia" w:hAnsiTheme="majorHAnsi" w:cstheme="majorHAnsi"/>
                <w:i/>
                <w:iCs/>
                <w:szCs w:val="20"/>
                <w:lang w:val="sq-AL"/>
              </w:rPr>
              <w:t xml:space="preserve">Mbështetja e </w:t>
            </w:r>
            <w:r w:rsidR="00C811D1" w:rsidRPr="00C811D1">
              <w:rPr>
                <w:rFonts w:asciiTheme="majorHAnsi" w:eastAsiaTheme="minorEastAsia" w:hAnsiTheme="majorHAnsi" w:cstheme="majorHAnsi"/>
                <w:i/>
                <w:iCs/>
                <w:szCs w:val="20"/>
                <w:lang w:val="sq-AL"/>
              </w:rPr>
              <w:t xml:space="preserve"> zhvillimit të një portali rajonal të investimeve mbi kërkesat </w:t>
            </w:r>
            <w:proofErr w:type="spellStart"/>
            <w:r w:rsidR="00C811D1" w:rsidRPr="00C811D1">
              <w:rPr>
                <w:rFonts w:asciiTheme="majorHAnsi" w:eastAsiaTheme="minorEastAsia" w:hAnsiTheme="majorHAnsi" w:cstheme="majorHAnsi"/>
                <w:i/>
                <w:iCs/>
                <w:szCs w:val="20"/>
                <w:lang w:val="sq-AL"/>
              </w:rPr>
              <w:t>rregullatore</w:t>
            </w:r>
            <w:proofErr w:type="spellEnd"/>
            <w:r w:rsidR="00C811D1" w:rsidRPr="00C811D1">
              <w:rPr>
                <w:rFonts w:asciiTheme="majorHAnsi" w:eastAsiaTheme="minorEastAsia" w:hAnsiTheme="majorHAnsi" w:cstheme="majorHAnsi"/>
                <w:i/>
                <w:iCs/>
                <w:szCs w:val="20"/>
                <w:lang w:val="sq-AL"/>
              </w:rPr>
              <w:t xml:space="preserve"> dhe mundësitë e investimeve në të gjithë rajonin, i cili bazohet në portalet ekzistuese rajonale të investimeve siç është ai i Forumit për Investime i </w:t>
            </w:r>
            <w:r w:rsidR="00C811D1">
              <w:rPr>
                <w:rFonts w:asciiTheme="majorHAnsi" w:eastAsiaTheme="minorEastAsia" w:hAnsiTheme="majorHAnsi" w:cstheme="majorHAnsi"/>
                <w:i/>
                <w:iCs/>
                <w:szCs w:val="20"/>
                <w:lang w:val="sq-AL"/>
              </w:rPr>
              <w:t xml:space="preserve">Odave Ekonomike </w:t>
            </w:r>
            <w:r w:rsidR="00C23833">
              <w:rPr>
                <w:rFonts w:asciiTheme="majorHAnsi" w:eastAsiaTheme="minorEastAsia" w:hAnsiTheme="majorHAnsi" w:cstheme="majorHAnsi"/>
                <w:i/>
                <w:iCs/>
                <w:szCs w:val="20"/>
                <w:lang w:val="sq-AL"/>
              </w:rPr>
              <w:t xml:space="preserve">(CIF) </w:t>
            </w:r>
            <w:r w:rsidR="00C811D1">
              <w:rPr>
                <w:rFonts w:asciiTheme="majorHAnsi" w:eastAsiaTheme="minorEastAsia" w:hAnsiTheme="majorHAnsi" w:cstheme="majorHAnsi"/>
                <w:i/>
                <w:iCs/>
                <w:szCs w:val="20"/>
                <w:lang w:val="sq-AL"/>
              </w:rPr>
              <w:t>t</w:t>
            </w:r>
            <w:r w:rsidR="006822F7">
              <w:rPr>
                <w:rFonts w:asciiTheme="majorHAnsi" w:eastAsiaTheme="minorEastAsia" w:hAnsiTheme="majorHAnsi" w:cstheme="majorHAnsi"/>
                <w:i/>
                <w:iCs/>
                <w:szCs w:val="20"/>
                <w:lang w:val="sq-AL"/>
              </w:rPr>
              <w:t>ë</w:t>
            </w:r>
            <w:r w:rsidR="00C811D1" w:rsidRPr="00C811D1">
              <w:rPr>
                <w:rFonts w:asciiTheme="majorHAnsi" w:eastAsiaTheme="minorEastAsia" w:hAnsiTheme="majorHAnsi" w:cstheme="majorHAnsi"/>
                <w:i/>
                <w:iCs/>
                <w:szCs w:val="20"/>
                <w:lang w:val="sq-AL"/>
              </w:rPr>
              <w:t xml:space="preserve"> BP6 dhe të tjera, ku konsiderohet e përshtatshme.</w:t>
            </w:r>
          </w:p>
        </w:tc>
        <w:tc>
          <w:tcPr>
            <w:tcW w:w="2610" w:type="dxa"/>
          </w:tcPr>
          <w:p w14:paraId="37B44C1C" w14:textId="2A60FE38" w:rsidR="00D35C40" w:rsidRPr="009A66BD" w:rsidRDefault="00D35C40" w:rsidP="009F756E">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5.2.1. </w:t>
            </w:r>
            <w:r w:rsidR="00D63BE9" w:rsidRPr="009A66BD">
              <w:rPr>
                <w:rFonts w:asciiTheme="minorHAnsi" w:eastAsiaTheme="minorEastAsia" w:hAnsiTheme="minorHAnsi" w:cstheme="minorHAnsi"/>
                <w:szCs w:val="20"/>
                <w:lang w:val="sq-AL"/>
              </w:rPr>
              <w:t xml:space="preserve">Organizimi i një takimi me Forumin e Investimeve të </w:t>
            </w:r>
            <w:r w:rsidR="00C811D1">
              <w:rPr>
                <w:rFonts w:asciiTheme="minorHAnsi" w:eastAsiaTheme="minorEastAsia" w:hAnsiTheme="minorHAnsi" w:cstheme="minorHAnsi"/>
                <w:szCs w:val="20"/>
                <w:lang w:val="sq-AL"/>
              </w:rPr>
              <w:t>Odave Ekonomike</w:t>
            </w:r>
            <w:r w:rsidR="00D63BE9" w:rsidRPr="009A66BD">
              <w:rPr>
                <w:rFonts w:asciiTheme="minorHAnsi" w:eastAsiaTheme="minorEastAsia" w:hAnsiTheme="minorHAnsi" w:cstheme="minorHAnsi"/>
                <w:szCs w:val="20"/>
                <w:lang w:val="sq-AL"/>
              </w:rPr>
              <w:t xml:space="preserve"> të BP (CIF) për të diskutuar </w:t>
            </w:r>
            <w:r w:rsidR="00C23833">
              <w:rPr>
                <w:rFonts w:asciiTheme="minorHAnsi" w:eastAsiaTheme="minorEastAsia" w:hAnsiTheme="minorHAnsi" w:cstheme="minorHAnsi"/>
                <w:szCs w:val="20"/>
                <w:lang w:val="sq-AL"/>
              </w:rPr>
              <w:t xml:space="preserve">opsionet potenciale </w:t>
            </w:r>
            <w:r w:rsidR="00D63BE9" w:rsidRPr="009A66BD">
              <w:rPr>
                <w:rFonts w:asciiTheme="minorHAnsi" w:eastAsiaTheme="minorEastAsia" w:hAnsiTheme="minorHAnsi" w:cstheme="minorHAnsi"/>
                <w:szCs w:val="20"/>
                <w:lang w:val="sq-AL"/>
              </w:rPr>
              <w:t xml:space="preserve">për bashkëpunim të ardhshëm me forcimin e portalit të </w:t>
            </w:r>
            <w:r w:rsidR="00C23833">
              <w:rPr>
                <w:rFonts w:asciiTheme="minorHAnsi" w:eastAsiaTheme="minorEastAsia" w:hAnsiTheme="minorHAnsi" w:cstheme="minorHAnsi"/>
                <w:szCs w:val="20"/>
                <w:lang w:val="sq-AL"/>
              </w:rPr>
              <w:t xml:space="preserve">tyre </w:t>
            </w:r>
            <w:r w:rsidR="009F756E">
              <w:rPr>
                <w:rFonts w:asciiTheme="minorHAnsi" w:eastAsiaTheme="minorEastAsia" w:hAnsiTheme="minorHAnsi" w:cstheme="minorHAnsi"/>
                <w:szCs w:val="20"/>
                <w:lang w:val="sq-AL"/>
              </w:rPr>
              <w:t>rajonal t</w:t>
            </w:r>
            <w:r w:rsidR="006822F7">
              <w:rPr>
                <w:rFonts w:asciiTheme="minorHAnsi" w:eastAsiaTheme="minorEastAsia" w:hAnsiTheme="minorHAnsi" w:cstheme="minorHAnsi"/>
                <w:szCs w:val="20"/>
                <w:lang w:val="sq-AL"/>
              </w:rPr>
              <w:t>ë</w:t>
            </w:r>
            <w:r w:rsidR="009F756E">
              <w:rPr>
                <w:rFonts w:asciiTheme="minorHAnsi" w:eastAsiaTheme="minorEastAsia" w:hAnsiTheme="minorHAnsi" w:cstheme="minorHAnsi"/>
                <w:szCs w:val="20"/>
                <w:lang w:val="sq-AL"/>
              </w:rPr>
              <w:t xml:space="preserve"> investimeve</w:t>
            </w:r>
            <w:r w:rsidRPr="009A66BD">
              <w:rPr>
                <w:rFonts w:asciiTheme="minorHAnsi" w:eastAsiaTheme="minorEastAsia" w:hAnsiTheme="minorHAnsi" w:cstheme="minorHAnsi"/>
                <w:szCs w:val="20"/>
                <w:lang w:val="sq-AL"/>
              </w:rPr>
              <w:t>.</w:t>
            </w:r>
          </w:p>
        </w:tc>
        <w:tc>
          <w:tcPr>
            <w:tcW w:w="900" w:type="dxa"/>
          </w:tcPr>
          <w:p w14:paraId="1AD8A803" w14:textId="393948F7" w:rsidR="00D35C40" w:rsidRPr="009A66BD" w:rsidRDefault="0006464E"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Mars</w:t>
            </w:r>
            <w:r w:rsidR="00D35C40" w:rsidRPr="009A66BD">
              <w:rPr>
                <w:rFonts w:asciiTheme="minorHAnsi" w:eastAsiaTheme="minorEastAsia" w:hAnsiTheme="minorHAnsi" w:cstheme="minorHAnsi"/>
                <w:szCs w:val="20"/>
                <w:lang w:val="sq-AL"/>
              </w:rPr>
              <w:t xml:space="preserve"> 2019</w:t>
            </w:r>
          </w:p>
        </w:tc>
        <w:tc>
          <w:tcPr>
            <w:tcW w:w="1260" w:type="dxa"/>
          </w:tcPr>
          <w:p w14:paraId="04B24CC4" w14:textId="4E7BC549" w:rsidR="00D35C40" w:rsidRPr="009A66BD" w:rsidRDefault="0063032B"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Tregtisë dhe Industrisë</w:t>
            </w:r>
          </w:p>
        </w:tc>
        <w:tc>
          <w:tcPr>
            <w:tcW w:w="1980" w:type="dxa"/>
          </w:tcPr>
          <w:p w14:paraId="4737AE3B" w14:textId="7AB007A2" w:rsidR="00D35C40" w:rsidRPr="009A66BD" w:rsidRDefault="00E10C7E" w:rsidP="009F756E">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Marrëveshja me CIF lidhur me opsionet dhe modalitetet konkrete për bashkëpunim në portalin </w:t>
            </w:r>
            <w:r w:rsidR="009F756E">
              <w:rPr>
                <w:rFonts w:asciiTheme="minorHAnsi" w:eastAsiaTheme="minorEastAsia" w:hAnsiTheme="minorHAnsi" w:cstheme="minorHAnsi"/>
                <w:szCs w:val="20"/>
                <w:lang w:val="sq-AL"/>
              </w:rPr>
              <w:t>rajonal t</w:t>
            </w:r>
            <w:r w:rsidR="006822F7">
              <w:rPr>
                <w:rFonts w:asciiTheme="minorHAnsi" w:eastAsiaTheme="minorEastAsia" w:hAnsiTheme="minorHAnsi" w:cstheme="minorHAnsi"/>
                <w:szCs w:val="20"/>
                <w:lang w:val="sq-AL"/>
              </w:rPr>
              <w:t>ë</w:t>
            </w:r>
            <w:r w:rsidR="009F756E">
              <w:rPr>
                <w:rFonts w:asciiTheme="minorHAnsi" w:eastAsiaTheme="minorEastAsia" w:hAnsiTheme="minorHAnsi" w:cstheme="minorHAnsi"/>
                <w:szCs w:val="20"/>
                <w:lang w:val="sq-AL"/>
              </w:rPr>
              <w:t xml:space="preserve"> investimeve</w:t>
            </w:r>
            <w:r w:rsidRPr="009A66BD">
              <w:rPr>
                <w:rFonts w:asciiTheme="minorHAnsi" w:eastAsiaTheme="minorEastAsia" w:hAnsiTheme="minorHAnsi" w:cstheme="minorHAnsi"/>
                <w:szCs w:val="20"/>
                <w:lang w:val="sq-AL"/>
              </w:rPr>
              <w:t>.</w:t>
            </w:r>
          </w:p>
        </w:tc>
        <w:tc>
          <w:tcPr>
            <w:tcW w:w="1080" w:type="dxa"/>
          </w:tcPr>
          <w:p w14:paraId="485BB3C8" w14:textId="5A7A44C8" w:rsidR="00D35C40" w:rsidRPr="009A66BD" w:rsidRDefault="00D23D07"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hAnsiTheme="minorHAnsi" w:cstheme="minorHAnsi"/>
                <w:sz w:val="18"/>
                <w:lang w:val="sq-AL"/>
              </w:rPr>
              <w:t>KBR</w:t>
            </w:r>
            <w:r w:rsidR="00D35C40" w:rsidRPr="009A66BD">
              <w:rPr>
                <w:rFonts w:asciiTheme="minorHAnsi" w:eastAsiaTheme="minorEastAsia" w:hAnsiTheme="minorHAnsi" w:cstheme="minorHAnsi"/>
                <w:szCs w:val="20"/>
                <w:lang w:val="sq-AL"/>
              </w:rPr>
              <w:t xml:space="preserve"> /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3B73A6C2" w14:textId="77777777" w:rsidR="00E10C7E" w:rsidRPr="009A66BD" w:rsidRDefault="00E10C7E" w:rsidP="00D35C40">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Qëndrueshmëria afatgjatë e platformës </w:t>
            </w:r>
            <w:proofErr w:type="spellStart"/>
            <w:r w:rsidRPr="009A66BD">
              <w:rPr>
                <w:rFonts w:asciiTheme="minorHAnsi" w:eastAsiaTheme="minorEastAsia" w:hAnsiTheme="minorHAnsi" w:cstheme="minorHAnsi"/>
                <w:i/>
                <w:szCs w:val="20"/>
                <w:lang w:val="sq-AL"/>
              </w:rPr>
              <w:t>promovuese</w:t>
            </w:r>
            <w:proofErr w:type="spellEnd"/>
            <w:r w:rsidRPr="009A66BD">
              <w:rPr>
                <w:rFonts w:asciiTheme="minorHAnsi" w:eastAsiaTheme="minorEastAsia" w:hAnsiTheme="minorHAnsi" w:cstheme="minorHAnsi"/>
                <w:i/>
                <w:szCs w:val="20"/>
                <w:lang w:val="sq-AL"/>
              </w:rPr>
              <w:t xml:space="preserve"> rajonale </w:t>
            </w:r>
            <w:proofErr w:type="spellStart"/>
            <w:r w:rsidRPr="009A66BD">
              <w:rPr>
                <w:rFonts w:asciiTheme="minorHAnsi" w:eastAsiaTheme="minorEastAsia" w:hAnsiTheme="minorHAnsi" w:cstheme="minorHAnsi"/>
                <w:i/>
                <w:szCs w:val="20"/>
                <w:lang w:val="sq-AL"/>
              </w:rPr>
              <w:t>online</w:t>
            </w:r>
            <w:proofErr w:type="spellEnd"/>
            <w:r w:rsidRPr="009A66BD">
              <w:rPr>
                <w:rFonts w:asciiTheme="minorHAnsi" w:eastAsiaTheme="minorEastAsia" w:hAnsiTheme="minorHAnsi" w:cstheme="minorHAnsi"/>
                <w:i/>
                <w:szCs w:val="20"/>
                <w:lang w:val="sq-AL"/>
              </w:rPr>
              <w:t xml:space="preserve"> është kritike.</w:t>
            </w:r>
          </w:p>
          <w:p w14:paraId="010CE08B" w14:textId="49908A99" w:rsidR="007C32DD" w:rsidRPr="009A66BD" w:rsidRDefault="00752769" w:rsidP="00752769">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Ky veprim për reforma është pjesë e agjendës rajonale dhe do të koordinohet nga Grupi i Përbashkët Punues i SEEIC-CEFTA për Investime</w:t>
            </w:r>
          </w:p>
        </w:tc>
      </w:tr>
      <w:tr w:rsidR="00D35C40" w:rsidRPr="009A66BD" w14:paraId="37C1B2ED"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65D1C286" w14:textId="77777777" w:rsidR="00D35C40" w:rsidRPr="009A66BD" w:rsidRDefault="00D35C40" w:rsidP="00D35C40">
            <w:pPr>
              <w:spacing w:after="120" w:line="240" w:lineRule="auto"/>
              <w:ind w:firstLine="0"/>
              <w:jc w:val="left"/>
              <w:rPr>
                <w:rFonts w:asciiTheme="minorHAnsi" w:eastAsiaTheme="minorHAnsi" w:hAnsiTheme="minorHAnsi" w:cstheme="minorHAnsi"/>
                <w:szCs w:val="20"/>
                <w:lang w:val="sq-AL"/>
              </w:rPr>
            </w:pPr>
          </w:p>
        </w:tc>
        <w:tc>
          <w:tcPr>
            <w:tcW w:w="2610" w:type="dxa"/>
          </w:tcPr>
          <w:p w14:paraId="3B207AE0" w14:textId="323A4A16" w:rsidR="00D35C40" w:rsidRPr="009A66BD" w:rsidRDefault="00D35C40" w:rsidP="009F756E">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 xml:space="preserve">5.2.2. </w:t>
            </w:r>
            <w:r w:rsidR="00FD0B3D" w:rsidRPr="009A66BD">
              <w:rPr>
                <w:rFonts w:asciiTheme="minorHAnsi" w:eastAsiaTheme="minorEastAsia" w:hAnsiTheme="minorHAnsi" w:cstheme="minorHAnsi"/>
                <w:szCs w:val="20"/>
                <w:lang w:val="sq-AL"/>
              </w:rPr>
              <w:t xml:space="preserve">Krijimi i një hapësire në portalin aktual </w:t>
            </w:r>
            <w:r w:rsidR="009F756E">
              <w:rPr>
                <w:rFonts w:asciiTheme="minorHAnsi" w:eastAsiaTheme="minorEastAsia" w:hAnsiTheme="minorHAnsi" w:cstheme="minorHAnsi"/>
                <w:szCs w:val="20"/>
                <w:lang w:val="sq-AL"/>
              </w:rPr>
              <w:t xml:space="preserve">rajonal </w:t>
            </w:r>
            <w:r w:rsidR="00FD0B3D" w:rsidRPr="009A66BD">
              <w:rPr>
                <w:rFonts w:asciiTheme="minorHAnsi" w:eastAsiaTheme="minorEastAsia" w:hAnsiTheme="minorHAnsi" w:cstheme="minorHAnsi"/>
                <w:szCs w:val="20"/>
                <w:lang w:val="sq-AL"/>
              </w:rPr>
              <w:t xml:space="preserve">të investimeve </w:t>
            </w:r>
            <w:r w:rsidR="00C23833">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C23833">
              <w:rPr>
                <w:rFonts w:asciiTheme="minorHAnsi" w:eastAsiaTheme="minorEastAsia" w:hAnsiTheme="minorHAnsi" w:cstheme="minorHAnsi"/>
                <w:szCs w:val="20"/>
                <w:lang w:val="sq-AL"/>
              </w:rPr>
              <w:t xml:space="preserve"> </w:t>
            </w:r>
            <w:r w:rsidR="00FD0B3D" w:rsidRPr="009A66BD">
              <w:rPr>
                <w:rFonts w:asciiTheme="minorHAnsi" w:eastAsiaTheme="minorEastAsia" w:hAnsiTheme="minorHAnsi" w:cstheme="minorHAnsi"/>
                <w:szCs w:val="20"/>
                <w:lang w:val="sq-AL"/>
              </w:rPr>
              <w:t xml:space="preserve">CIF </w:t>
            </w:r>
            <w:r w:rsidRPr="009A66BD">
              <w:rPr>
                <w:rFonts w:asciiTheme="minorHAnsi" w:eastAsiaTheme="minorEastAsia" w:hAnsiTheme="minorHAnsi" w:cstheme="minorHAnsi"/>
                <w:szCs w:val="20"/>
                <w:lang w:val="sq-AL"/>
              </w:rPr>
              <w:t>(</w:t>
            </w:r>
            <w:hyperlink r:id="rId14" w:history="1">
              <w:r w:rsidR="006822F7">
                <w:rPr>
                  <w:rStyle w:val="Hyperlink"/>
                  <w:rFonts w:asciiTheme="minorHAnsi" w:eastAsiaTheme="minorEastAsia" w:hAnsiTheme="minorHAnsi" w:cstheme="minorHAnsi"/>
                  <w:szCs w:val="20"/>
                  <w:lang w:val="sq-AL"/>
                </w:rPr>
                <w:t>ëëë</w:t>
              </w:r>
              <w:r w:rsidRPr="009A66BD">
                <w:rPr>
                  <w:rStyle w:val="Hyperlink"/>
                  <w:rFonts w:asciiTheme="minorHAnsi" w:eastAsiaTheme="minorEastAsia" w:hAnsiTheme="minorHAnsi" w:cstheme="minorHAnsi"/>
                  <w:szCs w:val="20"/>
                  <w:lang w:val="sq-AL"/>
                </w:rPr>
                <w:t>.investinsee.com</w:t>
              </w:r>
            </w:hyperlink>
            <w:r w:rsidRPr="009A66BD">
              <w:rPr>
                <w:rFonts w:asciiTheme="minorHAnsi" w:eastAsiaTheme="minorEastAsia" w:hAnsiTheme="minorHAnsi" w:cstheme="minorHAnsi"/>
                <w:szCs w:val="20"/>
                <w:lang w:val="sq-AL"/>
              </w:rPr>
              <w:t xml:space="preserve">)  </w:t>
            </w:r>
            <w:r w:rsidR="00FD0B3D" w:rsidRPr="009A66BD">
              <w:rPr>
                <w:rFonts w:asciiTheme="minorHAnsi" w:eastAsiaTheme="minorEastAsia" w:hAnsiTheme="minorHAnsi" w:cstheme="minorHAnsi"/>
                <w:szCs w:val="20"/>
                <w:lang w:val="sq-AL"/>
              </w:rPr>
              <w:t xml:space="preserve">për të </w:t>
            </w:r>
            <w:proofErr w:type="spellStart"/>
            <w:r w:rsidR="00C23833">
              <w:rPr>
                <w:rFonts w:asciiTheme="minorHAnsi" w:eastAsiaTheme="minorEastAsia" w:hAnsiTheme="minorHAnsi" w:cstheme="minorHAnsi"/>
                <w:szCs w:val="20"/>
                <w:lang w:val="sq-AL"/>
              </w:rPr>
              <w:t>hostuar</w:t>
            </w:r>
            <w:proofErr w:type="spellEnd"/>
            <w:r w:rsidR="00C23833">
              <w:rPr>
                <w:rFonts w:asciiTheme="minorHAnsi" w:eastAsiaTheme="minorEastAsia" w:hAnsiTheme="minorHAnsi" w:cstheme="minorHAnsi"/>
                <w:szCs w:val="20"/>
                <w:lang w:val="sq-AL"/>
              </w:rPr>
              <w:t xml:space="preserve"> </w:t>
            </w:r>
            <w:r w:rsidR="00CB6B22" w:rsidRPr="009A66BD">
              <w:rPr>
                <w:rFonts w:asciiTheme="minorHAnsi" w:eastAsiaTheme="minorEastAsia" w:hAnsiTheme="minorHAnsi" w:cstheme="minorHAnsi"/>
                <w:szCs w:val="20"/>
                <w:lang w:val="sq-AL"/>
              </w:rPr>
              <w:t>pilot</w:t>
            </w:r>
            <w:r w:rsidR="00C23833">
              <w:rPr>
                <w:rFonts w:asciiTheme="minorHAnsi" w:eastAsiaTheme="minorEastAsia" w:hAnsiTheme="minorHAnsi" w:cstheme="minorHAnsi"/>
                <w:szCs w:val="20"/>
                <w:lang w:val="sq-AL"/>
              </w:rPr>
              <w:t>in e pr</w:t>
            </w:r>
            <w:r w:rsidR="00FD0B3D" w:rsidRPr="009A66BD">
              <w:rPr>
                <w:rFonts w:asciiTheme="minorHAnsi" w:eastAsiaTheme="minorEastAsia" w:hAnsiTheme="minorHAnsi" w:cstheme="minorHAnsi"/>
                <w:szCs w:val="20"/>
                <w:lang w:val="sq-AL"/>
              </w:rPr>
              <w:t>omovimi</w:t>
            </w:r>
            <w:r w:rsidR="00C23833">
              <w:rPr>
                <w:rFonts w:asciiTheme="minorHAnsi" w:eastAsiaTheme="minorEastAsia" w:hAnsiTheme="minorHAnsi" w:cstheme="minorHAnsi"/>
                <w:szCs w:val="20"/>
                <w:lang w:val="sq-AL"/>
              </w:rPr>
              <w:t>t t</w:t>
            </w:r>
            <w:r w:rsidR="006822F7">
              <w:rPr>
                <w:rFonts w:asciiTheme="minorHAnsi" w:eastAsiaTheme="minorEastAsia" w:hAnsiTheme="minorHAnsi" w:cstheme="minorHAnsi"/>
                <w:szCs w:val="20"/>
                <w:lang w:val="sq-AL"/>
              </w:rPr>
              <w:t>ë</w:t>
            </w:r>
            <w:r w:rsidR="00C23833">
              <w:rPr>
                <w:rFonts w:asciiTheme="minorHAnsi" w:eastAsiaTheme="minorEastAsia" w:hAnsiTheme="minorHAnsi" w:cstheme="minorHAnsi"/>
                <w:szCs w:val="20"/>
                <w:lang w:val="sq-AL"/>
              </w:rPr>
              <w:t xml:space="preserve"> </w:t>
            </w:r>
            <w:r w:rsidR="00FD0B3D" w:rsidRPr="009A66BD">
              <w:rPr>
                <w:rFonts w:asciiTheme="minorHAnsi" w:eastAsiaTheme="minorEastAsia" w:hAnsiTheme="minorHAnsi" w:cstheme="minorHAnsi"/>
                <w:szCs w:val="20"/>
                <w:lang w:val="sq-AL"/>
              </w:rPr>
              <w:t>sektor</w:t>
            </w:r>
            <w:r w:rsidR="006822F7">
              <w:rPr>
                <w:rFonts w:asciiTheme="minorHAnsi" w:eastAsiaTheme="minorEastAsia" w:hAnsiTheme="minorHAnsi" w:cstheme="minorHAnsi"/>
                <w:szCs w:val="20"/>
                <w:lang w:val="sq-AL"/>
              </w:rPr>
              <w:t>ë</w:t>
            </w:r>
            <w:r w:rsidR="009F756E">
              <w:rPr>
                <w:rFonts w:asciiTheme="minorHAnsi" w:eastAsiaTheme="minorEastAsia" w:hAnsiTheme="minorHAnsi" w:cstheme="minorHAnsi"/>
                <w:szCs w:val="20"/>
                <w:lang w:val="sq-AL"/>
              </w:rPr>
              <w:t xml:space="preserve">ve </w:t>
            </w:r>
            <w:r w:rsidR="00FD0B3D" w:rsidRPr="009A66BD">
              <w:rPr>
                <w:rFonts w:asciiTheme="minorHAnsi" w:eastAsiaTheme="minorEastAsia" w:hAnsiTheme="minorHAnsi" w:cstheme="minorHAnsi"/>
                <w:szCs w:val="20"/>
                <w:lang w:val="sq-AL"/>
              </w:rPr>
              <w:t xml:space="preserve">rajonal (shih </w:t>
            </w:r>
            <w:r w:rsidR="004C0ACD" w:rsidRPr="009A66BD">
              <w:rPr>
                <w:rFonts w:asciiTheme="minorHAnsi" w:eastAsiaTheme="minorEastAsia" w:hAnsiTheme="minorHAnsi" w:cstheme="minorHAnsi"/>
                <w:szCs w:val="20"/>
                <w:lang w:val="sq-AL"/>
              </w:rPr>
              <w:t>pikën</w:t>
            </w:r>
            <w:r w:rsidR="00FD0B3D" w:rsidRPr="009A66BD">
              <w:rPr>
                <w:rFonts w:asciiTheme="minorHAnsi" w:eastAsiaTheme="minorEastAsia" w:hAnsiTheme="minorHAnsi" w:cstheme="minorHAnsi"/>
                <w:szCs w:val="20"/>
                <w:lang w:val="sq-AL"/>
              </w:rPr>
              <w:t xml:space="preserve"> 5.4 të PVRI-së).</w:t>
            </w:r>
          </w:p>
        </w:tc>
        <w:tc>
          <w:tcPr>
            <w:tcW w:w="900" w:type="dxa"/>
          </w:tcPr>
          <w:p w14:paraId="6816C84D" w14:textId="674C1156" w:rsidR="00D35C40" w:rsidRPr="009A66BD" w:rsidRDefault="0006464E"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r w:rsidR="00D35C40" w:rsidRPr="009A66BD">
              <w:rPr>
                <w:rFonts w:asciiTheme="minorHAnsi" w:eastAsiaTheme="minorEastAsia" w:hAnsiTheme="minorHAnsi" w:cstheme="minorHAnsi"/>
                <w:szCs w:val="20"/>
                <w:lang w:val="sq-AL"/>
              </w:rPr>
              <w:t xml:space="preserve"> 2019</w:t>
            </w:r>
          </w:p>
        </w:tc>
        <w:tc>
          <w:tcPr>
            <w:tcW w:w="1260" w:type="dxa"/>
          </w:tcPr>
          <w:p w14:paraId="4D0F2583" w14:textId="53EA33F4" w:rsidR="00D35C40" w:rsidRPr="009A66BD" w:rsidRDefault="005B2877"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591EEFE0" w14:textId="0496498C" w:rsidR="00D35C40" w:rsidRPr="009A66BD" w:rsidRDefault="00CB6B22" w:rsidP="009F756E">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Përshtatja e faqes për të </w:t>
            </w:r>
            <w:proofErr w:type="spellStart"/>
            <w:r w:rsidR="009F756E">
              <w:rPr>
                <w:rFonts w:asciiTheme="minorHAnsi" w:eastAsiaTheme="minorEastAsia" w:hAnsiTheme="minorHAnsi" w:cstheme="minorHAnsi"/>
                <w:szCs w:val="20"/>
                <w:lang w:val="sq-AL"/>
              </w:rPr>
              <w:t>hostuar</w:t>
            </w:r>
            <w:proofErr w:type="spellEnd"/>
            <w:r w:rsidRPr="009A66BD">
              <w:rPr>
                <w:rFonts w:asciiTheme="minorHAnsi" w:eastAsiaTheme="minorEastAsia" w:hAnsiTheme="minorHAnsi" w:cstheme="minorHAnsi"/>
                <w:szCs w:val="20"/>
                <w:lang w:val="sq-AL"/>
              </w:rPr>
              <w:t xml:space="preserve"> pilot</w:t>
            </w:r>
            <w:r w:rsidR="009F756E">
              <w:rPr>
                <w:rFonts w:asciiTheme="minorHAnsi" w:eastAsiaTheme="minorEastAsia" w:hAnsiTheme="minorHAnsi" w:cstheme="minorHAnsi"/>
                <w:szCs w:val="20"/>
                <w:lang w:val="sq-AL"/>
              </w:rPr>
              <w:t>in e promovimit t</w:t>
            </w:r>
            <w:r w:rsidR="006822F7">
              <w:rPr>
                <w:rFonts w:asciiTheme="minorHAnsi" w:eastAsiaTheme="minorEastAsia" w:hAnsiTheme="minorHAnsi" w:cstheme="minorHAnsi"/>
                <w:szCs w:val="20"/>
                <w:lang w:val="sq-AL"/>
              </w:rPr>
              <w:t>ë</w:t>
            </w:r>
            <w:r w:rsidR="009F756E">
              <w:rPr>
                <w:rFonts w:asciiTheme="minorHAnsi" w:eastAsiaTheme="minorEastAsia" w:hAnsiTheme="minorHAnsi" w:cstheme="minorHAnsi"/>
                <w:szCs w:val="20"/>
                <w:lang w:val="sq-AL"/>
              </w:rPr>
              <w:t xml:space="preserve"> sektor</w:t>
            </w:r>
            <w:r w:rsidR="006822F7">
              <w:rPr>
                <w:rFonts w:asciiTheme="minorHAnsi" w:eastAsiaTheme="minorEastAsia" w:hAnsiTheme="minorHAnsi" w:cstheme="minorHAnsi"/>
                <w:szCs w:val="20"/>
                <w:lang w:val="sq-AL"/>
              </w:rPr>
              <w:t>ë</w:t>
            </w:r>
            <w:r w:rsidR="009F756E">
              <w:rPr>
                <w:rFonts w:asciiTheme="minorHAnsi" w:eastAsiaTheme="minorEastAsia" w:hAnsiTheme="minorHAnsi" w:cstheme="minorHAnsi"/>
                <w:szCs w:val="20"/>
                <w:lang w:val="sq-AL"/>
              </w:rPr>
              <w:t xml:space="preserve">ve rajonal </w:t>
            </w:r>
            <w:r w:rsidRPr="009A66BD">
              <w:rPr>
                <w:rFonts w:asciiTheme="minorHAnsi" w:eastAsiaTheme="minorEastAsia" w:hAnsiTheme="minorHAnsi" w:cstheme="minorHAnsi"/>
                <w:szCs w:val="20"/>
                <w:lang w:val="sq-AL"/>
              </w:rPr>
              <w:t xml:space="preserve">në portalin rajonal të investimeve </w:t>
            </w:r>
            <w:r w:rsidR="009F756E">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9F756E">
              <w:rPr>
                <w:rFonts w:asciiTheme="minorHAnsi" w:eastAsiaTheme="minorEastAsia" w:hAnsiTheme="minorHAnsi" w:cstheme="minorHAnsi"/>
                <w:szCs w:val="20"/>
                <w:lang w:val="sq-AL"/>
              </w:rPr>
              <w:t xml:space="preserve"> </w:t>
            </w:r>
            <w:r w:rsidRPr="009A66BD">
              <w:rPr>
                <w:rFonts w:asciiTheme="minorHAnsi" w:eastAsiaTheme="minorEastAsia" w:hAnsiTheme="minorHAnsi" w:cstheme="minorHAnsi"/>
                <w:szCs w:val="20"/>
                <w:lang w:val="sq-AL"/>
              </w:rPr>
              <w:t>CIF.</w:t>
            </w:r>
          </w:p>
        </w:tc>
        <w:tc>
          <w:tcPr>
            <w:tcW w:w="1080" w:type="dxa"/>
          </w:tcPr>
          <w:p w14:paraId="5ADE3313" w14:textId="619FCA31" w:rsidR="00D35C40" w:rsidRPr="009A66BD" w:rsidRDefault="00D23D07"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hAnsiTheme="minorHAnsi" w:cstheme="minorHAnsi"/>
                <w:sz w:val="18"/>
                <w:lang w:val="sq-AL"/>
              </w:rPr>
              <w:t>KBR</w:t>
            </w:r>
            <w:r w:rsidR="00D35C40" w:rsidRPr="009A66BD">
              <w:rPr>
                <w:rFonts w:asciiTheme="minorHAnsi" w:eastAsiaTheme="minorEastAsia" w:hAnsiTheme="minorHAnsi" w:cstheme="minorHAnsi"/>
                <w:szCs w:val="20"/>
                <w:lang w:val="sq-AL"/>
              </w:rPr>
              <w:t xml:space="preserve"> /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195A497B" w14:textId="4C82795C" w:rsidR="00D35C40" w:rsidRPr="009A66BD" w:rsidRDefault="00D35C40" w:rsidP="00D35C40">
            <w:pPr>
              <w:spacing w:after="120" w:line="240" w:lineRule="auto"/>
              <w:ind w:firstLine="0"/>
              <w:jc w:val="left"/>
              <w:rPr>
                <w:rFonts w:asciiTheme="minorHAnsi" w:eastAsiaTheme="minorEastAsia" w:hAnsiTheme="minorHAnsi" w:cstheme="minorHAnsi"/>
                <w:i/>
                <w:szCs w:val="20"/>
                <w:lang w:val="sq-AL"/>
              </w:rPr>
            </w:pPr>
          </w:p>
        </w:tc>
      </w:tr>
      <w:tr w:rsidR="00D35C40" w:rsidRPr="00612497" w14:paraId="09C006C5" w14:textId="77777777" w:rsidTr="00D43D3C">
        <w:trPr>
          <w:trHeight w:val="1015"/>
        </w:trPr>
        <w:tc>
          <w:tcPr>
            <w:tcW w:w="2335" w:type="dxa"/>
            <w:vMerge/>
          </w:tcPr>
          <w:p w14:paraId="1CF9ED44" w14:textId="77777777" w:rsidR="00D35C40" w:rsidRPr="009A66BD" w:rsidRDefault="00D35C40" w:rsidP="00D35C40">
            <w:pPr>
              <w:spacing w:after="120" w:line="240" w:lineRule="auto"/>
              <w:ind w:firstLine="0"/>
              <w:jc w:val="left"/>
              <w:rPr>
                <w:rFonts w:asciiTheme="minorHAnsi" w:eastAsiaTheme="minorHAnsi" w:hAnsiTheme="minorHAnsi" w:cstheme="minorHAnsi"/>
                <w:szCs w:val="20"/>
                <w:lang w:val="sq-AL"/>
              </w:rPr>
            </w:pPr>
          </w:p>
        </w:tc>
        <w:tc>
          <w:tcPr>
            <w:tcW w:w="2610" w:type="dxa"/>
          </w:tcPr>
          <w:p w14:paraId="3B1001E6" w14:textId="565EB6B7" w:rsidR="00D35C40" w:rsidRPr="009A66BD" w:rsidRDefault="00D35C40" w:rsidP="0089486C">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 xml:space="preserve">5.2.3. </w:t>
            </w:r>
            <w:r w:rsidR="00CB6B22" w:rsidRPr="009A66BD">
              <w:rPr>
                <w:rFonts w:asciiTheme="minorHAnsi" w:eastAsiaTheme="minorEastAsia" w:hAnsiTheme="minorHAnsi" w:cstheme="minorHAnsi"/>
                <w:szCs w:val="20"/>
                <w:lang w:val="sq-AL"/>
              </w:rPr>
              <w:t>Përgatitja dhe sigurimi i të dhënave relevante për pilot</w:t>
            </w:r>
            <w:r w:rsidR="008D5E84">
              <w:rPr>
                <w:rFonts w:asciiTheme="minorHAnsi" w:eastAsiaTheme="minorEastAsia" w:hAnsiTheme="minorHAnsi" w:cstheme="minorHAnsi"/>
                <w:szCs w:val="20"/>
                <w:lang w:val="sq-AL"/>
              </w:rPr>
              <w:t xml:space="preserve">in e </w:t>
            </w:r>
            <w:proofErr w:type="spellStart"/>
            <w:r w:rsidR="008D5E84">
              <w:rPr>
                <w:rFonts w:asciiTheme="minorHAnsi" w:eastAsiaTheme="minorEastAsia" w:hAnsiTheme="minorHAnsi" w:cstheme="minorHAnsi"/>
                <w:szCs w:val="20"/>
                <w:lang w:val="sq-AL"/>
              </w:rPr>
              <w:t>dakorduar</w:t>
            </w:r>
            <w:proofErr w:type="spellEnd"/>
            <w:r w:rsidR="008D5E84">
              <w:rPr>
                <w:rFonts w:asciiTheme="minorHAnsi" w:eastAsiaTheme="minorEastAsia" w:hAnsiTheme="minorHAnsi" w:cstheme="minorHAnsi"/>
                <w:szCs w:val="20"/>
                <w:lang w:val="sq-AL"/>
              </w:rPr>
              <w:t xml:space="preserve"> t</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 p</w:t>
            </w:r>
            <w:r w:rsidR="00CB6B22" w:rsidRPr="009A66BD">
              <w:rPr>
                <w:rFonts w:asciiTheme="minorHAnsi" w:eastAsiaTheme="minorEastAsia" w:hAnsiTheme="minorHAnsi" w:cstheme="minorHAnsi"/>
                <w:szCs w:val="20"/>
                <w:lang w:val="sq-AL"/>
              </w:rPr>
              <w:t>romovimi</w:t>
            </w:r>
            <w:r w:rsidR="008D5E84">
              <w:rPr>
                <w:rFonts w:asciiTheme="minorHAnsi" w:eastAsiaTheme="minorEastAsia" w:hAnsiTheme="minorHAnsi" w:cstheme="minorHAnsi"/>
                <w:szCs w:val="20"/>
                <w:lang w:val="sq-AL"/>
              </w:rPr>
              <w:t>t t</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 </w:t>
            </w:r>
            <w:r w:rsidR="00CB6B22" w:rsidRPr="009A66BD">
              <w:rPr>
                <w:rFonts w:asciiTheme="minorHAnsi" w:eastAsiaTheme="minorEastAsia" w:hAnsiTheme="minorHAnsi" w:cstheme="minorHAnsi"/>
                <w:szCs w:val="20"/>
                <w:lang w:val="sq-AL"/>
              </w:rPr>
              <w:t>sektor</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ve </w:t>
            </w:r>
            <w:r w:rsidR="00CB6B22" w:rsidRPr="009A66BD">
              <w:rPr>
                <w:rFonts w:asciiTheme="minorHAnsi" w:eastAsiaTheme="minorEastAsia" w:hAnsiTheme="minorHAnsi" w:cstheme="minorHAnsi"/>
                <w:szCs w:val="20"/>
                <w:lang w:val="sq-AL"/>
              </w:rPr>
              <w:t xml:space="preserve"> rajonal për krijimin e një </w:t>
            </w:r>
            <w:r w:rsidR="008D5E84">
              <w:rPr>
                <w:rFonts w:asciiTheme="minorHAnsi" w:eastAsiaTheme="minorEastAsia" w:hAnsiTheme="minorHAnsi" w:cstheme="minorHAnsi"/>
                <w:szCs w:val="20"/>
                <w:lang w:val="sq-AL"/>
              </w:rPr>
              <w:t>p</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rmbledhje  t</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 shkurt</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r apo profili të </w:t>
            </w:r>
            <w:r w:rsidR="00CB6B22" w:rsidRPr="009A66BD">
              <w:rPr>
                <w:rFonts w:asciiTheme="minorHAnsi" w:eastAsiaTheme="minorEastAsia" w:hAnsiTheme="minorHAnsi" w:cstheme="minorHAnsi"/>
                <w:szCs w:val="20"/>
                <w:lang w:val="sq-AL"/>
              </w:rPr>
              <w:t xml:space="preserve"> promovimi</w:t>
            </w:r>
            <w:r w:rsidR="008D5E84">
              <w:rPr>
                <w:rFonts w:asciiTheme="minorHAnsi" w:eastAsiaTheme="minorEastAsia" w:hAnsiTheme="minorHAnsi" w:cstheme="minorHAnsi"/>
                <w:szCs w:val="20"/>
                <w:lang w:val="sq-AL"/>
              </w:rPr>
              <w:t>t t</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 </w:t>
            </w:r>
            <w:r w:rsidR="00CB6B22" w:rsidRPr="009A66BD">
              <w:rPr>
                <w:rFonts w:asciiTheme="minorHAnsi" w:eastAsiaTheme="minorEastAsia" w:hAnsiTheme="minorHAnsi" w:cstheme="minorHAnsi"/>
                <w:szCs w:val="20"/>
                <w:lang w:val="sq-AL"/>
              </w:rPr>
              <w:t xml:space="preserve"> sektor</w:t>
            </w:r>
            <w:r w:rsidR="006822F7">
              <w:rPr>
                <w:rFonts w:asciiTheme="minorHAnsi" w:eastAsiaTheme="minorEastAsia" w:hAnsiTheme="minorHAnsi" w:cstheme="minorHAnsi"/>
                <w:szCs w:val="20"/>
                <w:lang w:val="sq-AL"/>
              </w:rPr>
              <w:t>ë</w:t>
            </w:r>
            <w:r w:rsidR="0089486C">
              <w:rPr>
                <w:rFonts w:asciiTheme="minorHAnsi" w:eastAsiaTheme="minorEastAsia" w:hAnsiTheme="minorHAnsi" w:cstheme="minorHAnsi"/>
                <w:szCs w:val="20"/>
                <w:lang w:val="sq-AL"/>
              </w:rPr>
              <w:t>ve</w:t>
            </w:r>
            <w:r w:rsidR="00CB6B22" w:rsidRPr="009A66BD">
              <w:rPr>
                <w:rFonts w:asciiTheme="minorHAnsi" w:eastAsiaTheme="minorEastAsia" w:hAnsiTheme="minorHAnsi" w:cstheme="minorHAnsi"/>
                <w:szCs w:val="20"/>
                <w:lang w:val="sq-AL"/>
              </w:rPr>
              <w:t xml:space="preserve"> rajonal.</w:t>
            </w:r>
          </w:p>
        </w:tc>
        <w:tc>
          <w:tcPr>
            <w:tcW w:w="900" w:type="dxa"/>
          </w:tcPr>
          <w:p w14:paraId="7025B73C" w14:textId="64245644" w:rsidR="00D35C40" w:rsidRPr="009A66BD" w:rsidRDefault="0006464E"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Dhjetor</w:t>
            </w:r>
            <w:r w:rsidR="007C32DD" w:rsidRPr="009A66BD">
              <w:rPr>
                <w:rFonts w:asciiTheme="minorHAnsi" w:eastAsiaTheme="minorEastAsia" w:hAnsiTheme="minorHAnsi" w:cstheme="minorHAnsi"/>
                <w:szCs w:val="20"/>
                <w:lang w:val="sq-AL"/>
              </w:rPr>
              <w:t>2019</w:t>
            </w:r>
          </w:p>
        </w:tc>
        <w:tc>
          <w:tcPr>
            <w:tcW w:w="1260" w:type="dxa"/>
          </w:tcPr>
          <w:p w14:paraId="71F35B1A" w14:textId="29D9278A" w:rsidR="00D35C40" w:rsidRPr="009A66BD" w:rsidRDefault="005B2877" w:rsidP="00D35C4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1FFADA46" w14:textId="0728D73A" w:rsidR="00D35C40" w:rsidRPr="009A66BD" w:rsidRDefault="004750CF" w:rsidP="0089486C">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Raportimi i të dhënave relevante të ofruara për t</w:t>
            </w:r>
            <w:r w:rsidR="0089486C">
              <w:rPr>
                <w:rFonts w:asciiTheme="minorHAnsi" w:eastAsiaTheme="minorEastAsia" w:hAnsiTheme="minorHAnsi" w:cstheme="minorHAnsi"/>
                <w:szCs w:val="20"/>
                <w:lang w:val="sq-AL"/>
              </w:rPr>
              <w:t>’u</w:t>
            </w:r>
            <w:r w:rsidRPr="009A66BD">
              <w:rPr>
                <w:rFonts w:asciiTheme="minorHAnsi" w:eastAsiaTheme="minorEastAsia" w:hAnsiTheme="minorHAnsi" w:cstheme="minorHAnsi"/>
                <w:szCs w:val="20"/>
                <w:lang w:val="sq-AL"/>
              </w:rPr>
              <w:t xml:space="preserve"> për</w:t>
            </w:r>
            <w:r w:rsidR="0089486C">
              <w:rPr>
                <w:rFonts w:asciiTheme="minorHAnsi" w:eastAsiaTheme="minorEastAsia" w:hAnsiTheme="minorHAnsi" w:cstheme="minorHAnsi"/>
                <w:szCs w:val="20"/>
                <w:lang w:val="sq-AL"/>
              </w:rPr>
              <w:t>fshir</w:t>
            </w:r>
            <w:r w:rsidR="006822F7">
              <w:rPr>
                <w:rFonts w:asciiTheme="minorHAnsi" w:eastAsiaTheme="minorEastAsia" w:hAnsiTheme="minorHAnsi" w:cstheme="minorHAnsi"/>
                <w:szCs w:val="20"/>
                <w:lang w:val="sq-AL"/>
              </w:rPr>
              <w:t>ë</w:t>
            </w:r>
            <w:r w:rsidR="0089486C">
              <w:rPr>
                <w:rFonts w:asciiTheme="minorHAnsi" w:eastAsiaTheme="minorEastAsia" w:hAnsiTheme="minorHAnsi" w:cstheme="minorHAnsi"/>
                <w:szCs w:val="20"/>
                <w:lang w:val="sq-AL"/>
              </w:rPr>
              <w:t xml:space="preserve"> n</w:t>
            </w:r>
            <w:r w:rsidR="006822F7">
              <w:rPr>
                <w:rFonts w:asciiTheme="minorHAnsi" w:eastAsiaTheme="minorEastAsia" w:hAnsiTheme="minorHAnsi" w:cstheme="minorHAnsi"/>
                <w:szCs w:val="20"/>
                <w:lang w:val="sq-AL"/>
              </w:rPr>
              <w:t>ë</w:t>
            </w:r>
            <w:r w:rsidR="0089486C">
              <w:rPr>
                <w:rFonts w:asciiTheme="minorHAnsi" w:eastAsiaTheme="minorEastAsia" w:hAnsiTheme="minorHAnsi" w:cstheme="minorHAnsi"/>
                <w:szCs w:val="20"/>
                <w:lang w:val="sq-AL"/>
              </w:rPr>
              <w:t xml:space="preserve"> </w:t>
            </w:r>
            <w:r w:rsidRPr="009A66BD">
              <w:rPr>
                <w:rFonts w:asciiTheme="minorHAnsi" w:eastAsiaTheme="minorEastAsia" w:hAnsiTheme="minorHAnsi" w:cstheme="minorHAnsi"/>
                <w:szCs w:val="20"/>
                <w:lang w:val="sq-AL"/>
              </w:rPr>
              <w:t>pilot</w:t>
            </w:r>
            <w:r w:rsidR="0089486C">
              <w:rPr>
                <w:rFonts w:asciiTheme="minorHAnsi" w:eastAsiaTheme="minorEastAsia" w:hAnsiTheme="minorHAnsi" w:cstheme="minorHAnsi"/>
                <w:szCs w:val="20"/>
                <w:lang w:val="sq-AL"/>
              </w:rPr>
              <w:t xml:space="preserve">in e </w:t>
            </w:r>
            <w:r w:rsidRPr="009A66BD">
              <w:rPr>
                <w:rFonts w:asciiTheme="minorHAnsi" w:eastAsiaTheme="minorEastAsia" w:hAnsiTheme="minorHAnsi" w:cstheme="minorHAnsi"/>
                <w:szCs w:val="20"/>
                <w:lang w:val="sq-AL"/>
              </w:rPr>
              <w:t>promovimi</w:t>
            </w:r>
            <w:r w:rsidR="0089486C">
              <w:rPr>
                <w:rFonts w:asciiTheme="minorHAnsi" w:eastAsiaTheme="minorEastAsia" w:hAnsiTheme="minorHAnsi" w:cstheme="minorHAnsi"/>
                <w:szCs w:val="20"/>
                <w:lang w:val="sq-AL"/>
              </w:rPr>
              <w:t>t t</w:t>
            </w:r>
            <w:r w:rsidR="006822F7">
              <w:rPr>
                <w:rFonts w:asciiTheme="minorHAnsi" w:eastAsiaTheme="minorEastAsia" w:hAnsiTheme="minorHAnsi" w:cstheme="minorHAnsi"/>
                <w:szCs w:val="20"/>
                <w:lang w:val="sq-AL"/>
              </w:rPr>
              <w:t>ë</w:t>
            </w:r>
            <w:r w:rsidR="0089486C">
              <w:rPr>
                <w:rFonts w:asciiTheme="minorHAnsi" w:eastAsiaTheme="minorEastAsia" w:hAnsiTheme="minorHAnsi" w:cstheme="minorHAnsi"/>
                <w:szCs w:val="20"/>
                <w:lang w:val="sq-AL"/>
              </w:rPr>
              <w:t xml:space="preserve"> sektor</w:t>
            </w:r>
            <w:r w:rsidR="006822F7">
              <w:rPr>
                <w:rFonts w:asciiTheme="minorHAnsi" w:eastAsiaTheme="minorEastAsia" w:hAnsiTheme="minorHAnsi" w:cstheme="minorHAnsi"/>
                <w:szCs w:val="20"/>
                <w:lang w:val="sq-AL"/>
              </w:rPr>
              <w:t>ë</w:t>
            </w:r>
            <w:r w:rsidR="0089486C">
              <w:rPr>
                <w:rFonts w:asciiTheme="minorHAnsi" w:eastAsiaTheme="minorEastAsia" w:hAnsiTheme="minorHAnsi" w:cstheme="minorHAnsi"/>
                <w:szCs w:val="20"/>
                <w:lang w:val="sq-AL"/>
              </w:rPr>
              <w:t>ve rajonal</w:t>
            </w:r>
            <w:r w:rsidRPr="009A66BD">
              <w:rPr>
                <w:rFonts w:asciiTheme="minorHAnsi" w:eastAsiaTheme="minorEastAsia" w:hAnsiTheme="minorHAnsi" w:cstheme="minorHAnsi"/>
                <w:szCs w:val="20"/>
                <w:lang w:val="sq-AL"/>
              </w:rPr>
              <w:t>.</w:t>
            </w:r>
          </w:p>
        </w:tc>
        <w:tc>
          <w:tcPr>
            <w:tcW w:w="1080" w:type="dxa"/>
          </w:tcPr>
          <w:p w14:paraId="575FD582" w14:textId="2E2368C9" w:rsidR="00D35C40" w:rsidRPr="009A66BD" w:rsidRDefault="0089486C" w:rsidP="0089486C">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E nevojshme</w:t>
            </w:r>
            <w:r w:rsidR="0027480E" w:rsidRPr="009A66BD">
              <w:rPr>
                <w:rFonts w:asciiTheme="minorHAnsi" w:eastAsiaTheme="minorEastAsia" w:hAnsiTheme="minorHAnsi" w:cstheme="minorBidi"/>
                <w:szCs w:val="20"/>
                <w:lang w:val="sq-AL"/>
              </w:rPr>
              <w:t xml:space="preserve">, por </w:t>
            </w:r>
            <w:r>
              <w:rPr>
                <w:rFonts w:asciiTheme="minorHAnsi" w:eastAsiaTheme="minorEastAsia" w:hAnsiTheme="minorHAnsi" w:cstheme="minorBidi"/>
                <w:szCs w:val="20"/>
                <w:lang w:val="sq-AL"/>
              </w:rPr>
              <w:t xml:space="preserve">nuk </w:t>
            </w:r>
            <w:r w:rsidR="006822F7">
              <w:rPr>
                <w:rFonts w:asciiTheme="minorHAnsi" w:eastAsiaTheme="minorEastAsia" w:hAnsiTheme="minorHAnsi" w:cstheme="minorBidi"/>
                <w:szCs w:val="20"/>
                <w:lang w:val="sq-AL"/>
              </w:rPr>
              <w:t>ë</w:t>
            </w:r>
            <w:r>
              <w:rPr>
                <w:rFonts w:asciiTheme="minorHAnsi" w:eastAsiaTheme="minorEastAsia" w:hAnsiTheme="minorHAnsi" w:cstheme="minorBidi"/>
                <w:szCs w:val="20"/>
                <w:lang w:val="sq-AL"/>
              </w:rPr>
              <w:t>sht</w:t>
            </w:r>
            <w:r w:rsidR="006822F7">
              <w:rPr>
                <w:rFonts w:asciiTheme="minorHAnsi" w:eastAsiaTheme="minorEastAsia" w:hAnsiTheme="minorHAnsi" w:cstheme="minorBidi"/>
                <w:szCs w:val="20"/>
                <w:lang w:val="sq-AL"/>
              </w:rPr>
              <w:t>ë</w:t>
            </w:r>
            <w:r>
              <w:rPr>
                <w:rFonts w:asciiTheme="minorHAnsi" w:eastAsiaTheme="minorEastAsia" w:hAnsiTheme="minorHAnsi" w:cstheme="minorBidi"/>
                <w:szCs w:val="20"/>
                <w:lang w:val="sq-AL"/>
              </w:rPr>
              <w:t xml:space="preserve"> siguruar</w:t>
            </w:r>
          </w:p>
        </w:tc>
        <w:tc>
          <w:tcPr>
            <w:tcW w:w="4508" w:type="dxa"/>
          </w:tcPr>
          <w:p w14:paraId="40F1205F" w14:textId="615385F4" w:rsidR="00D35C40" w:rsidRPr="009A66BD" w:rsidRDefault="000606E3" w:rsidP="00D35C40">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Aktiviteti duhet të fillojë sa më shpejt që të jetë e mundur për të lejuar më shumë kohë për të vlerësuar ndikimin </w:t>
            </w:r>
            <w:proofErr w:type="spellStart"/>
            <w:r w:rsidRPr="009A66BD">
              <w:rPr>
                <w:rFonts w:asciiTheme="minorHAnsi" w:eastAsiaTheme="minorEastAsia" w:hAnsiTheme="minorHAnsi" w:cstheme="minorHAnsi"/>
                <w:i/>
                <w:szCs w:val="20"/>
                <w:lang w:val="sq-AL"/>
              </w:rPr>
              <w:t>promovues</w:t>
            </w:r>
            <w:proofErr w:type="spellEnd"/>
            <w:r w:rsidRPr="009A66BD">
              <w:rPr>
                <w:rFonts w:asciiTheme="minorHAnsi" w:eastAsiaTheme="minorEastAsia" w:hAnsiTheme="minorHAnsi" w:cstheme="minorHAnsi"/>
                <w:i/>
                <w:szCs w:val="20"/>
                <w:lang w:val="sq-AL"/>
              </w:rPr>
              <w:t xml:space="preserve"> të JIPI</w:t>
            </w:r>
            <w:r w:rsidR="00D35C40" w:rsidRPr="009A66BD">
              <w:rPr>
                <w:rFonts w:asciiTheme="minorHAnsi" w:eastAsiaTheme="minorEastAsia" w:hAnsiTheme="minorHAnsi" w:cstheme="minorHAnsi"/>
                <w:i/>
                <w:szCs w:val="20"/>
                <w:lang w:val="sq-AL"/>
              </w:rPr>
              <w:t xml:space="preserve">. </w:t>
            </w:r>
          </w:p>
          <w:p w14:paraId="128EC248" w14:textId="2505A348" w:rsidR="00866E95" w:rsidRPr="009A66BD" w:rsidRDefault="000606E3" w:rsidP="0089486C">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Nevoja për mbështetje të donatorëve do të varet nga lloji i të dhënave të </w:t>
            </w:r>
            <w:proofErr w:type="spellStart"/>
            <w:r w:rsidRPr="009A66BD">
              <w:rPr>
                <w:rFonts w:asciiTheme="minorHAnsi" w:eastAsiaTheme="minorEastAsia" w:hAnsiTheme="minorHAnsi" w:cstheme="minorHAnsi"/>
                <w:i/>
                <w:szCs w:val="20"/>
                <w:lang w:val="sq-AL"/>
              </w:rPr>
              <w:t>dakorduara</w:t>
            </w:r>
            <w:proofErr w:type="spellEnd"/>
            <w:r w:rsidRPr="009A66BD">
              <w:rPr>
                <w:rFonts w:asciiTheme="minorHAnsi" w:eastAsiaTheme="minorEastAsia" w:hAnsiTheme="minorHAnsi" w:cstheme="minorHAnsi"/>
                <w:i/>
                <w:szCs w:val="20"/>
                <w:lang w:val="sq-AL"/>
              </w:rPr>
              <w:t xml:space="preserve"> </w:t>
            </w:r>
            <w:r w:rsidR="0089486C">
              <w:rPr>
                <w:rFonts w:asciiTheme="minorHAnsi" w:eastAsiaTheme="minorEastAsia" w:hAnsiTheme="minorHAnsi" w:cstheme="minorHAnsi"/>
                <w:i/>
                <w:szCs w:val="20"/>
                <w:lang w:val="sq-AL"/>
              </w:rPr>
              <w:t>p</w:t>
            </w:r>
            <w:r w:rsidR="006822F7">
              <w:rPr>
                <w:rFonts w:asciiTheme="minorHAnsi" w:eastAsiaTheme="minorEastAsia" w:hAnsiTheme="minorHAnsi" w:cstheme="minorHAnsi"/>
                <w:i/>
                <w:szCs w:val="20"/>
                <w:lang w:val="sq-AL"/>
              </w:rPr>
              <w:t>ë</w:t>
            </w:r>
            <w:r w:rsidR="0089486C">
              <w:rPr>
                <w:rFonts w:asciiTheme="minorHAnsi" w:eastAsiaTheme="minorEastAsia" w:hAnsiTheme="minorHAnsi" w:cstheme="minorHAnsi"/>
                <w:i/>
                <w:szCs w:val="20"/>
                <w:lang w:val="sq-AL"/>
              </w:rPr>
              <w:t>r t’u siguruar</w:t>
            </w:r>
            <w:r w:rsidRPr="009A66BD">
              <w:rPr>
                <w:rFonts w:asciiTheme="minorHAnsi" w:eastAsiaTheme="minorEastAsia" w:hAnsiTheme="minorHAnsi" w:cstheme="minorHAnsi"/>
                <w:i/>
                <w:szCs w:val="20"/>
                <w:lang w:val="sq-AL"/>
              </w:rPr>
              <w:t xml:space="preserve">, </w:t>
            </w:r>
            <w:r w:rsidR="0089486C">
              <w:rPr>
                <w:rFonts w:asciiTheme="minorHAnsi" w:eastAsiaTheme="minorEastAsia" w:hAnsiTheme="minorHAnsi" w:cstheme="minorHAnsi"/>
                <w:i/>
                <w:szCs w:val="20"/>
                <w:lang w:val="sq-AL"/>
              </w:rPr>
              <w:t>siç do t</w:t>
            </w:r>
            <w:r w:rsidR="006822F7">
              <w:rPr>
                <w:rFonts w:asciiTheme="minorHAnsi" w:eastAsiaTheme="minorEastAsia" w:hAnsiTheme="minorHAnsi" w:cstheme="minorHAnsi"/>
                <w:i/>
                <w:szCs w:val="20"/>
                <w:lang w:val="sq-AL"/>
              </w:rPr>
              <w:t>ë</w:t>
            </w:r>
            <w:r w:rsidR="0089486C">
              <w:rPr>
                <w:rFonts w:asciiTheme="minorHAnsi" w:eastAsiaTheme="minorEastAsia" w:hAnsiTheme="minorHAnsi" w:cstheme="minorHAnsi"/>
                <w:i/>
                <w:szCs w:val="20"/>
                <w:lang w:val="sq-AL"/>
              </w:rPr>
              <w:t xml:space="preserve"> </w:t>
            </w:r>
            <w:proofErr w:type="spellStart"/>
            <w:r w:rsidR="0089486C">
              <w:rPr>
                <w:rFonts w:asciiTheme="minorHAnsi" w:eastAsiaTheme="minorEastAsia" w:hAnsiTheme="minorHAnsi" w:cstheme="minorHAnsi"/>
                <w:i/>
                <w:szCs w:val="20"/>
                <w:lang w:val="sq-AL"/>
              </w:rPr>
              <w:t>dakordohet</w:t>
            </w:r>
            <w:proofErr w:type="spellEnd"/>
            <w:r w:rsidR="0089486C">
              <w:rPr>
                <w:rFonts w:asciiTheme="minorHAnsi" w:eastAsiaTheme="minorEastAsia" w:hAnsiTheme="minorHAnsi" w:cstheme="minorHAnsi"/>
                <w:i/>
                <w:szCs w:val="20"/>
                <w:lang w:val="sq-AL"/>
              </w:rPr>
              <w:t xml:space="preserve"> n</w:t>
            </w:r>
            <w:r w:rsidR="006822F7">
              <w:rPr>
                <w:rFonts w:asciiTheme="minorHAnsi" w:eastAsiaTheme="minorEastAsia" w:hAnsiTheme="minorHAnsi" w:cstheme="minorHAnsi"/>
                <w:i/>
                <w:szCs w:val="20"/>
                <w:lang w:val="sq-AL"/>
              </w:rPr>
              <w:t>ë</w:t>
            </w:r>
            <w:r w:rsidR="0089486C">
              <w:rPr>
                <w:rFonts w:asciiTheme="minorHAnsi" w:eastAsiaTheme="minorEastAsia" w:hAnsiTheme="minorHAnsi" w:cstheme="minorHAnsi"/>
                <w:i/>
                <w:szCs w:val="20"/>
                <w:lang w:val="sq-AL"/>
              </w:rPr>
              <w:t xml:space="preserve">n Veprimin </w:t>
            </w:r>
            <w:r w:rsidRPr="009A66BD">
              <w:rPr>
                <w:rFonts w:asciiTheme="minorHAnsi" w:eastAsiaTheme="minorEastAsia" w:hAnsiTheme="minorHAnsi" w:cstheme="minorHAnsi"/>
                <w:i/>
                <w:szCs w:val="20"/>
                <w:lang w:val="sq-AL"/>
              </w:rPr>
              <w:t xml:space="preserve"> 5.4.3 të PVRI-së</w:t>
            </w:r>
          </w:p>
        </w:tc>
      </w:tr>
      <w:tr w:rsidR="000E1E6F" w:rsidRPr="00612497" w14:paraId="3BED75AA"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val="restart"/>
          </w:tcPr>
          <w:p w14:paraId="26D07967" w14:textId="2FBB0BD9" w:rsidR="000E1E6F" w:rsidRPr="009A66BD" w:rsidRDefault="000E1E6F" w:rsidP="009F756E">
            <w:pPr>
              <w:spacing w:after="120" w:line="240" w:lineRule="auto"/>
              <w:ind w:left="520"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t xml:space="preserve">5.3 </w:t>
            </w:r>
            <w:r w:rsidR="00D61085" w:rsidRPr="009A66BD">
              <w:rPr>
                <w:rFonts w:asciiTheme="majorHAnsi" w:eastAsiaTheme="minorEastAsia" w:hAnsiTheme="majorHAnsi" w:cstheme="majorHAnsi"/>
                <w:i/>
                <w:iCs/>
                <w:szCs w:val="20"/>
                <w:lang w:val="sq-AL"/>
              </w:rPr>
              <w:t xml:space="preserve">Mbështetja </w:t>
            </w:r>
            <w:r w:rsidR="009F756E" w:rsidRPr="009F756E">
              <w:rPr>
                <w:rFonts w:asciiTheme="majorHAnsi" w:eastAsiaTheme="minorEastAsia" w:hAnsiTheme="majorHAnsi" w:cstheme="majorHAnsi"/>
                <w:i/>
                <w:iCs/>
                <w:szCs w:val="20"/>
                <w:lang w:val="sq-AL"/>
              </w:rPr>
              <w:t xml:space="preserve">e ndërmjetësve të promovimit të investimeve të ekonomive individuale për të kontribuar në mënyrë efektive në </w:t>
            </w:r>
            <w:r w:rsidR="009F756E" w:rsidRPr="009F756E">
              <w:rPr>
                <w:rFonts w:asciiTheme="majorHAnsi" w:eastAsiaTheme="minorEastAsia" w:hAnsiTheme="majorHAnsi" w:cstheme="majorHAnsi"/>
                <w:i/>
                <w:iCs/>
                <w:szCs w:val="20"/>
                <w:lang w:val="sq-AL"/>
              </w:rPr>
              <w:lastRenderedPageBreak/>
              <w:t>iniciativën e promovimit të investimeve rajonale.</w:t>
            </w:r>
          </w:p>
        </w:tc>
        <w:tc>
          <w:tcPr>
            <w:tcW w:w="2610" w:type="dxa"/>
          </w:tcPr>
          <w:p w14:paraId="26CE22FC" w14:textId="4CB3BAD3" w:rsidR="000E1E6F" w:rsidRPr="009A66BD" w:rsidRDefault="000E1E6F" w:rsidP="008D5E8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 xml:space="preserve">5.3.1. </w:t>
            </w:r>
            <w:r w:rsidR="00D61085" w:rsidRPr="009A66BD">
              <w:rPr>
                <w:rFonts w:asciiTheme="minorHAnsi" w:eastAsiaTheme="minorEastAsia" w:hAnsiTheme="minorHAnsi" w:cstheme="minorHAnsi"/>
                <w:szCs w:val="20"/>
                <w:lang w:val="sq-AL"/>
              </w:rPr>
              <w:t xml:space="preserve">Vlerësimi i nevojave </w:t>
            </w:r>
            <w:r w:rsidR="008D5E84">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8D5E84">
              <w:rPr>
                <w:rFonts w:asciiTheme="minorHAnsi" w:eastAsiaTheme="minorEastAsia" w:hAnsiTheme="minorHAnsi" w:cstheme="minorHAnsi"/>
                <w:szCs w:val="20"/>
                <w:lang w:val="sq-AL"/>
              </w:rPr>
              <w:t xml:space="preserve"> brendshme </w:t>
            </w:r>
            <w:r w:rsidR="00D61085" w:rsidRPr="009A66BD">
              <w:rPr>
                <w:rFonts w:asciiTheme="minorHAnsi" w:eastAsiaTheme="minorEastAsia" w:hAnsiTheme="minorHAnsi" w:cstheme="minorHAnsi"/>
                <w:szCs w:val="20"/>
                <w:lang w:val="sq-AL"/>
              </w:rPr>
              <w:t xml:space="preserve">për ndërtimin e kapaciteteve </w:t>
            </w:r>
            <w:r w:rsidR="008D5E84">
              <w:rPr>
                <w:rFonts w:asciiTheme="minorHAnsi" w:eastAsiaTheme="minorEastAsia" w:hAnsiTheme="minorHAnsi" w:cstheme="minorHAnsi"/>
                <w:szCs w:val="20"/>
                <w:lang w:val="sq-AL"/>
              </w:rPr>
              <w:t>n</w:t>
            </w:r>
            <w:r w:rsidR="00D61085" w:rsidRPr="009A66BD">
              <w:rPr>
                <w:rFonts w:asciiTheme="minorHAnsi" w:eastAsiaTheme="minorEastAsia" w:hAnsiTheme="minorHAnsi" w:cstheme="minorHAnsi"/>
                <w:szCs w:val="20"/>
                <w:lang w:val="sq-AL"/>
              </w:rPr>
              <w:t>ë promovimin e investimeve.</w:t>
            </w:r>
          </w:p>
        </w:tc>
        <w:tc>
          <w:tcPr>
            <w:tcW w:w="900" w:type="dxa"/>
          </w:tcPr>
          <w:p w14:paraId="4D20EAB9" w14:textId="5F69530A" w:rsidR="000E1E6F" w:rsidRPr="009A66BD" w:rsidRDefault="0006464E" w:rsidP="0006464E">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Mars</w:t>
            </w:r>
            <w:r w:rsidR="0066150C" w:rsidRPr="009A66BD">
              <w:rPr>
                <w:rFonts w:asciiTheme="minorHAnsi" w:eastAsiaTheme="minorEastAsia" w:hAnsiTheme="minorHAnsi" w:cstheme="minorHAnsi"/>
                <w:szCs w:val="20"/>
                <w:lang w:val="sq-AL"/>
              </w:rPr>
              <w:t xml:space="preserve"> 2</w:t>
            </w:r>
            <w:r w:rsidR="007C32DD" w:rsidRPr="009A66BD">
              <w:rPr>
                <w:rFonts w:asciiTheme="minorHAnsi" w:eastAsiaTheme="minorEastAsia" w:hAnsiTheme="minorHAnsi" w:cstheme="minorHAnsi"/>
                <w:szCs w:val="20"/>
                <w:lang w:val="sq-AL"/>
              </w:rPr>
              <w:t>019</w:t>
            </w:r>
            <w:r w:rsidR="0066150C" w:rsidRPr="009A66BD">
              <w:rPr>
                <w:rFonts w:asciiTheme="minorHAnsi" w:eastAsiaTheme="minorEastAsia" w:hAnsiTheme="minorHAnsi" w:cstheme="minorHAnsi"/>
                <w:szCs w:val="20"/>
                <w:lang w:val="sq-AL"/>
              </w:rPr>
              <w:t xml:space="preserve"> </w:t>
            </w:r>
          </w:p>
        </w:tc>
        <w:tc>
          <w:tcPr>
            <w:tcW w:w="1260" w:type="dxa"/>
          </w:tcPr>
          <w:p w14:paraId="02D9987F" w14:textId="31D82421" w:rsidR="000E1E6F" w:rsidRPr="009A66BD" w:rsidRDefault="005B2877"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70BBF914" w14:textId="4E1620DE" w:rsidR="000E1E6F" w:rsidRPr="009A66BD" w:rsidRDefault="00D61085" w:rsidP="00DE6EBC">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Sigurimi i një liste ose sugjerimi i moduleve për ngritjen e kapaciteteve për promovimin e investimeve bazuar në nevojat </w:t>
            </w:r>
            <w:r w:rsidR="00DE6EBC">
              <w:rPr>
                <w:rFonts w:asciiTheme="minorHAnsi" w:eastAsiaTheme="minorEastAsia" w:hAnsiTheme="minorHAnsi" w:cstheme="minorHAnsi"/>
                <w:szCs w:val="20"/>
                <w:lang w:val="sq-AL"/>
              </w:rPr>
              <w:t xml:space="preserve">e </w:t>
            </w:r>
            <w:r w:rsidR="00DE6EBC">
              <w:rPr>
                <w:rFonts w:asciiTheme="minorHAnsi" w:eastAsiaTheme="minorEastAsia" w:hAnsiTheme="minorHAnsi" w:cstheme="minorHAnsi"/>
                <w:szCs w:val="20"/>
                <w:lang w:val="sq-AL"/>
              </w:rPr>
              <w:lastRenderedPageBreak/>
              <w:t xml:space="preserve">brendshme </w:t>
            </w:r>
            <w:r w:rsidRPr="009A66BD">
              <w:rPr>
                <w:rFonts w:asciiTheme="minorHAnsi" w:eastAsiaTheme="minorEastAsia" w:hAnsiTheme="minorHAnsi" w:cstheme="minorHAnsi"/>
                <w:szCs w:val="20"/>
                <w:lang w:val="sq-AL"/>
              </w:rPr>
              <w:t>për ngritjen e kapaciteteve për promovimin e investimeve.</w:t>
            </w:r>
          </w:p>
        </w:tc>
        <w:tc>
          <w:tcPr>
            <w:tcW w:w="1080" w:type="dxa"/>
          </w:tcPr>
          <w:p w14:paraId="7AC7FCD6" w14:textId="4C335716" w:rsidR="000E1E6F" w:rsidRPr="009A66BD" w:rsidRDefault="00045F5A"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Nuk është e nevojshme</w:t>
            </w:r>
          </w:p>
        </w:tc>
        <w:tc>
          <w:tcPr>
            <w:tcW w:w="4508" w:type="dxa"/>
          </w:tcPr>
          <w:p w14:paraId="1A471BD9" w14:textId="77EA45E6" w:rsidR="009661AB" w:rsidRPr="009A66BD" w:rsidRDefault="00885616" w:rsidP="009661AB">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i/>
                <w:szCs w:val="20"/>
                <w:lang w:val="sq-AL"/>
              </w:rPr>
              <w:t xml:space="preserve">Lista do të përdoret si kontribut për zhvillimin e një analize të kërkesës </w:t>
            </w:r>
            <w:r w:rsidR="00DE6EBC">
              <w:rPr>
                <w:rFonts w:asciiTheme="minorHAnsi" w:eastAsiaTheme="minorEastAsia" w:hAnsiTheme="minorHAnsi" w:cstheme="minorHAnsi"/>
                <w:i/>
                <w:szCs w:val="20"/>
                <w:lang w:val="sq-AL"/>
              </w:rPr>
              <w:t xml:space="preserve">rajonale </w:t>
            </w:r>
            <w:r w:rsidRPr="009A66BD">
              <w:rPr>
                <w:rFonts w:asciiTheme="minorHAnsi" w:eastAsiaTheme="minorEastAsia" w:hAnsiTheme="minorHAnsi" w:cstheme="minorHAnsi"/>
                <w:i/>
                <w:szCs w:val="20"/>
                <w:lang w:val="sq-AL"/>
              </w:rPr>
              <w:t>për ndërtimin e kapaciteteve / trajnimit së bashku me informacionet e siguruara nga ekonomitë e tjera pjesëmarrëse nga rajoni</w:t>
            </w:r>
            <w:r w:rsidR="009661AB" w:rsidRPr="009A66BD">
              <w:rPr>
                <w:rFonts w:asciiTheme="minorHAnsi" w:eastAsiaTheme="minorEastAsia" w:hAnsiTheme="minorHAnsi" w:cstheme="minorHAnsi"/>
                <w:i/>
                <w:szCs w:val="20"/>
                <w:lang w:val="sq-AL"/>
              </w:rPr>
              <w:t>.</w:t>
            </w:r>
            <w:r w:rsidR="009661AB" w:rsidRPr="009A66BD">
              <w:rPr>
                <w:rFonts w:asciiTheme="minorHAnsi" w:eastAsiaTheme="minorEastAsia" w:hAnsiTheme="minorHAnsi" w:cstheme="minorHAnsi"/>
                <w:szCs w:val="20"/>
                <w:lang w:val="sq-AL"/>
              </w:rPr>
              <w:t xml:space="preserve"> </w:t>
            </w:r>
          </w:p>
          <w:p w14:paraId="653BA31D" w14:textId="4794D284" w:rsidR="000E1E6F" w:rsidRPr="009A66BD" w:rsidRDefault="0092660E" w:rsidP="00DE6EBC">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Bazuar në këtë vlerësim, një grup i moduleve potenciale të trajnimit me interes të përbashkët do të përpilohet nga KBR me mbështetjen e projektit të </w:t>
            </w:r>
            <w:r w:rsidR="008D5E84">
              <w:rPr>
                <w:rFonts w:asciiTheme="minorHAnsi" w:eastAsiaTheme="minorEastAsia" w:hAnsiTheme="minorHAnsi" w:cstheme="minorHAnsi"/>
                <w:i/>
                <w:szCs w:val="20"/>
                <w:lang w:val="sq-AL"/>
              </w:rPr>
              <w:lastRenderedPageBreak/>
              <w:t>GBB</w:t>
            </w:r>
            <w:r w:rsidRPr="009A66BD">
              <w:rPr>
                <w:rFonts w:asciiTheme="minorHAnsi" w:eastAsiaTheme="minorEastAsia" w:hAnsiTheme="minorHAnsi" w:cstheme="minorHAnsi"/>
                <w:i/>
                <w:szCs w:val="20"/>
                <w:lang w:val="sq-AL"/>
              </w:rPr>
              <w:t xml:space="preserve"> - BP PPI. Identifikimi i ofruesve të përshtatshëm të trajnimit dhe zbatimi </w:t>
            </w:r>
            <w:r w:rsidR="00DE6EBC">
              <w:rPr>
                <w:rFonts w:asciiTheme="minorHAnsi" w:eastAsiaTheme="minorEastAsia" w:hAnsiTheme="minorHAnsi" w:cstheme="minorHAnsi"/>
                <w:i/>
                <w:szCs w:val="20"/>
                <w:lang w:val="sq-AL"/>
              </w:rPr>
              <w:t xml:space="preserve">faktik </w:t>
            </w:r>
            <w:r w:rsidRPr="009A66BD">
              <w:rPr>
                <w:rFonts w:asciiTheme="minorHAnsi" w:eastAsiaTheme="minorEastAsia" w:hAnsiTheme="minorHAnsi" w:cstheme="minorHAnsi"/>
                <w:i/>
                <w:szCs w:val="20"/>
                <w:lang w:val="sq-AL"/>
              </w:rPr>
              <w:t xml:space="preserve"> i moduleve të trajnimit është subjekt i </w:t>
            </w:r>
            <w:proofErr w:type="spellStart"/>
            <w:r w:rsidRPr="009A66BD">
              <w:rPr>
                <w:rFonts w:asciiTheme="minorHAnsi" w:eastAsiaTheme="minorEastAsia" w:hAnsiTheme="minorHAnsi" w:cstheme="minorHAnsi"/>
                <w:i/>
                <w:szCs w:val="20"/>
                <w:lang w:val="sq-AL"/>
              </w:rPr>
              <w:t>disponueshmërisë</w:t>
            </w:r>
            <w:proofErr w:type="spellEnd"/>
            <w:r w:rsidRPr="009A66BD">
              <w:rPr>
                <w:rFonts w:asciiTheme="minorHAnsi" w:eastAsiaTheme="minorEastAsia" w:hAnsiTheme="minorHAnsi" w:cstheme="minorHAnsi"/>
                <w:i/>
                <w:szCs w:val="20"/>
                <w:lang w:val="sq-AL"/>
              </w:rPr>
              <w:t xml:space="preserve"> së financimit</w:t>
            </w:r>
            <w:r w:rsidR="009661AB" w:rsidRPr="009A66BD">
              <w:rPr>
                <w:rFonts w:asciiTheme="minorHAnsi" w:eastAsiaTheme="minorEastAsia" w:hAnsiTheme="minorHAnsi" w:cstheme="minorHAnsi"/>
                <w:i/>
                <w:szCs w:val="20"/>
                <w:lang w:val="sq-AL"/>
              </w:rPr>
              <w:t>.</w:t>
            </w:r>
          </w:p>
        </w:tc>
      </w:tr>
      <w:tr w:rsidR="000E1E6F" w:rsidRPr="00612497" w14:paraId="6254EB20" w14:textId="77777777" w:rsidTr="00D43D3C">
        <w:trPr>
          <w:trHeight w:val="1015"/>
        </w:trPr>
        <w:tc>
          <w:tcPr>
            <w:tcW w:w="2335" w:type="dxa"/>
            <w:vMerge/>
          </w:tcPr>
          <w:p w14:paraId="1FC7C457" w14:textId="0F31DE06" w:rsidR="000E1E6F" w:rsidRPr="009A66BD" w:rsidRDefault="000E1E6F" w:rsidP="000E1E6F">
            <w:pPr>
              <w:spacing w:after="120" w:line="240" w:lineRule="auto"/>
              <w:ind w:firstLine="0"/>
              <w:jc w:val="left"/>
              <w:rPr>
                <w:rFonts w:asciiTheme="majorHAnsi" w:eastAsiaTheme="minorHAnsi" w:hAnsiTheme="majorHAnsi" w:cstheme="majorHAnsi"/>
                <w:szCs w:val="20"/>
                <w:lang w:val="sq-AL"/>
              </w:rPr>
            </w:pPr>
          </w:p>
        </w:tc>
        <w:tc>
          <w:tcPr>
            <w:tcW w:w="2610" w:type="dxa"/>
          </w:tcPr>
          <w:p w14:paraId="4DC3FF51" w14:textId="75E923CA" w:rsidR="000E1E6F" w:rsidRPr="009A66BD" w:rsidRDefault="000E1E6F" w:rsidP="00D54FF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5.3.2. </w:t>
            </w:r>
            <w:r w:rsidR="00D54FF6">
              <w:rPr>
                <w:rFonts w:asciiTheme="minorHAnsi" w:eastAsiaTheme="minorEastAsia" w:hAnsiTheme="minorHAnsi" w:cstheme="minorHAnsi"/>
                <w:szCs w:val="20"/>
                <w:lang w:val="sq-AL"/>
              </w:rPr>
              <w:t xml:space="preserve">Caktimi </w:t>
            </w:r>
            <w:r w:rsidR="009952DF" w:rsidRPr="009A66BD">
              <w:rPr>
                <w:rFonts w:asciiTheme="minorHAnsi" w:eastAsiaTheme="minorEastAsia" w:hAnsiTheme="minorHAnsi" w:cstheme="minorHAnsi"/>
                <w:szCs w:val="20"/>
                <w:lang w:val="sq-AL"/>
              </w:rPr>
              <w:t>i stafit të veçantë të Agjencisë dhe / ose Ministri</w:t>
            </w:r>
            <w:r w:rsidR="00D54FF6">
              <w:rPr>
                <w:rFonts w:asciiTheme="minorHAnsi" w:eastAsiaTheme="minorEastAsia" w:hAnsiTheme="minorHAnsi" w:cstheme="minorHAnsi"/>
                <w:szCs w:val="20"/>
                <w:lang w:val="sq-AL"/>
              </w:rPr>
              <w:t>ve</w:t>
            </w:r>
            <w:r w:rsidR="009952DF" w:rsidRPr="009A66BD">
              <w:rPr>
                <w:rFonts w:asciiTheme="minorHAnsi" w:eastAsiaTheme="minorEastAsia" w:hAnsiTheme="minorHAnsi" w:cstheme="minorHAnsi"/>
                <w:szCs w:val="20"/>
                <w:lang w:val="sq-AL"/>
              </w:rPr>
              <w:t>, të cilët duhet të marrin pjesë në modulet e propozuara për ndërtimin e kapaciteteve.</w:t>
            </w:r>
          </w:p>
        </w:tc>
        <w:tc>
          <w:tcPr>
            <w:tcW w:w="900" w:type="dxa"/>
          </w:tcPr>
          <w:p w14:paraId="7326ABBA" w14:textId="0E62661A" w:rsidR="000E1E6F" w:rsidRPr="009A66BD" w:rsidRDefault="0066150C"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r w:rsidR="000E1E6F" w:rsidRPr="009A66BD">
              <w:rPr>
                <w:rFonts w:asciiTheme="minorHAnsi" w:eastAsiaTheme="minorEastAsia" w:hAnsiTheme="minorHAnsi" w:cstheme="minorHAnsi"/>
                <w:szCs w:val="20"/>
                <w:lang w:val="sq-AL"/>
              </w:rPr>
              <w:t xml:space="preserve"> 2019</w:t>
            </w:r>
          </w:p>
        </w:tc>
        <w:tc>
          <w:tcPr>
            <w:tcW w:w="1260" w:type="dxa"/>
          </w:tcPr>
          <w:p w14:paraId="2D96EE97" w14:textId="2EB233C5" w:rsidR="000E1E6F" w:rsidRPr="009A66BD" w:rsidRDefault="0027480E"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 * dhe Ministritë / Autoritetet e interesuara</w:t>
            </w:r>
          </w:p>
        </w:tc>
        <w:tc>
          <w:tcPr>
            <w:tcW w:w="1980" w:type="dxa"/>
          </w:tcPr>
          <w:p w14:paraId="124BDF9D" w14:textId="498E1593" w:rsidR="000E1E6F" w:rsidRPr="009A66BD" w:rsidRDefault="00080CB7" w:rsidP="00D54FF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Lista e stafit</w:t>
            </w:r>
            <w:r w:rsidR="00D54FF6">
              <w:rPr>
                <w:rFonts w:asciiTheme="minorHAnsi" w:eastAsiaTheme="minorEastAsia" w:hAnsiTheme="minorHAnsi" w:cstheme="minorHAnsi"/>
                <w:szCs w:val="20"/>
                <w:lang w:val="sq-AL"/>
              </w:rPr>
              <w:t xml:space="preserve"> e hartuar</w:t>
            </w:r>
            <w:r w:rsidRPr="009A66BD">
              <w:rPr>
                <w:rFonts w:asciiTheme="minorHAnsi" w:eastAsiaTheme="minorEastAsia" w:hAnsiTheme="minorHAnsi" w:cstheme="minorHAnsi"/>
                <w:szCs w:val="20"/>
                <w:lang w:val="sq-AL"/>
              </w:rPr>
              <w:t>, e  konfirmuar dhe e dërguar.</w:t>
            </w:r>
          </w:p>
        </w:tc>
        <w:tc>
          <w:tcPr>
            <w:tcW w:w="1080" w:type="dxa"/>
          </w:tcPr>
          <w:p w14:paraId="507290D8" w14:textId="7D821579" w:rsidR="000E1E6F" w:rsidRPr="009A66BD" w:rsidRDefault="00045F5A"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4508" w:type="dxa"/>
          </w:tcPr>
          <w:p w14:paraId="6E33FCB5" w14:textId="5386537C" w:rsidR="000E1E6F" w:rsidRPr="009A66BD" w:rsidRDefault="009E34D5" w:rsidP="000E1E6F">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Promovimi i investimeve është një proces bashkëpunues dhe ministritë e përfshira në procesin </w:t>
            </w:r>
            <w:r w:rsidR="00E42BCD">
              <w:rPr>
                <w:rFonts w:asciiTheme="minorHAnsi" w:eastAsiaTheme="minorEastAsia" w:hAnsiTheme="minorHAnsi" w:cstheme="minorHAnsi"/>
                <w:i/>
                <w:szCs w:val="20"/>
                <w:lang w:val="sq-AL"/>
              </w:rPr>
              <w:t>m</w:t>
            </w:r>
            <w:r w:rsidR="006822F7">
              <w:rPr>
                <w:rFonts w:asciiTheme="minorHAnsi" w:eastAsiaTheme="minorEastAsia" w:hAnsiTheme="minorHAnsi" w:cstheme="minorHAnsi"/>
                <w:i/>
                <w:szCs w:val="20"/>
                <w:lang w:val="sq-AL"/>
              </w:rPr>
              <w:t>ë</w:t>
            </w:r>
            <w:r w:rsidR="00E42BCD">
              <w:rPr>
                <w:rFonts w:asciiTheme="minorHAnsi" w:eastAsiaTheme="minorEastAsia" w:hAnsiTheme="minorHAnsi" w:cstheme="minorHAnsi"/>
                <w:i/>
                <w:szCs w:val="20"/>
                <w:lang w:val="sq-AL"/>
              </w:rPr>
              <w:t xml:space="preserve"> t</w:t>
            </w:r>
            <w:r w:rsidR="006822F7">
              <w:rPr>
                <w:rFonts w:asciiTheme="minorHAnsi" w:eastAsiaTheme="minorEastAsia" w:hAnsiTheme="minorHAnsi" w:cstheme="minorHAnsi"/>
                <w:i/>
                <w:szCs w:val="20"/>
                <w:lang w:val="sq-AL"/>
              </w:rPr>
              <w:t>ë</w:t>
            </w:r>
            <w:r w:rsidR="00E42BCD">
              <w:rPr>
                <w:rFonts w:asciiTheme="minorHAnsi" w:eastAsiaTheme="minorEastAsia" w:hAnsiTheme="minorHAnsi" w:cstheme="minorHAnsi"/>
                <w:i/>
                <w:szCs w:val="20"/>
                <w:lang w:val="sq-AL"/>
              </w:rPr>
              <w:t xml:space="preserve"> gjer</w:t>
            </w:r>
            <w:r w:rsidR="006822F7">
              <w:rPr>
                <w:rFonts w:asciiTheme="minorHAnsi" w:eastAsiaTheme="minorEastAsia" w:hAnsiTheme="minorHAnsi" w:cstheme="minorHAnsi"/>
                <w:i/>
                <w:szCs w:val="20"/>
                <w:lang w:val="sq-AL"/>
              </w:rPr>
              <w:t>ë</w:t>
            </w:r>
            <w:r w:rsidR="00E42BCD">
              <w:rPr>
                <w:rFonts w:asciiTheme="minorHAnsi" w:eastAsiaTheme="minorEastAsia" w:hAnsiTheme="minorHAnsi" w:cstheme="minorHAnsi"/>
                <w:i/>
                <w:szCs w:val="20"/>
                <w:lang w:val="sq-AL"/>
              </w:rPr>
              <w:t xml:space="preserve"> t</w:t>
            </w:r>
            <w:r w:rsidRPr="009A66BD">
              <w:rPr>
                <w:rFonts w:asciiTheme="minorHAnsi" w:eastAsiaTheme="minorEastAsia" w:hAnsiTheme="minorHAnsi" w:cstheme="minorHAnsi"/>
                <w:i/>
                <w:szCs w:val="20"/>
                <w:lang w:val="sq-AL"/>
              </w:rPr>
              <w:t xml:space="preserve">ë promovimit të investimeve duhet të marrin  seriozisht </w:t>
            </w:r>
            <w:r w:rsidR="00E42BCD">
              <w:rPr>
                <w:rFonts w:asciiTheme="minorHAnsi" w:eastAsiaTheme="minorEastAsia" w:hAnsiTheme="minorHAnsi" w:cstheme="minorHAnsi"/>
                <w:i/>
                <w:szCs w:val="20"/>
                <w:lang w:val="sq-AL"/>
              </w:rPr>
              <w:t>n</w:t>
            </w:r>
            <w:r w:rsidR="006822F7">
              <w:rPr>
                <w:rFonts w:asciiTheme="minorHAnsi" w:eastAsiaTheme="minorEastAsia" w:hAnsiTheme="minorHAnsi" w:cstheme="minorHAnsi"/>
                <w:i/>
                <w:szCs w:val="20"/>
                <w:lang w:val="sq-AL"/>
              </w:rPr>
              <w:t>ë</w:t>
            </w:r>
            <w:r w:rsidR="00E42BCD">
              <w:rPr>
                <w:rFonts w:asciiTheme="minorHAnsi" w:eastAsiaTheme="minorEastAsia" w:hAnsiTheme="minorHAnsi" w:cstheme="minorHAnsi"/>
                <w:i/>
                <w:szCs w:val="20"/>
                <w:lang w:val="sq-AL"/>
              </w:rPr>
              <w:t xml:space="preserve"> </w:t>
            </w:r>
            <w:r w:rsidRPr="009A66BD">
              <w:rPr>
                <w:rFonts w:asciiTheme="minorHAnsi" w:eastAsiaTheme="minorEastAsia" w:hAnsiTheme="minorHAnsi" w:cstheme="minorHAnsi"/>
                <w:i/>
                <w:szCs w:val="20"/>
                <w:lang w:val="sq-AL"/>
              </w:rPr>
              <w:t>konsideratë pjesëmarrjen në trajnime për të përmirësuar koordinimin e promovimit të investimeve</w:t>
            </w:r>
            <w:r w:rsidR="000E1E6F" w:rsidRPr="009A66BD">
              <w:rPr>
                <w:rFonts w:asciiTheme="minorHAnsi" w:eastAsiaTheme="minorEastAsia" w:hAnsiTheme="minorHAnsi" w:cstheme="minorHAnsi"/>
                <w:i/>
                <w:szCs w:val="20"/>
                <w:lang w:val="sq-AL"/>
              </w:rPr>
              <w:t>.</w:t>
            </w:r>
          </w:p>
          <w:p w14:paraId="562B9DE3" w14:textId="4F58185B" w:rsidR="007C32DD" w:rsidRPr="009A66BD" w:rsidRDefault="00E42BCD" w:rsidP="00E42BCD">
            <w:pPr>
              <w:spacing w:after="120" w:line="240" w:lineRule="auto"/>
              <w:ind w:firstLine="0"/>
              <w:jc w:val="left"/>
              <w:rPr>
                <w:rFonts w:asciiTheme="minorHAnsi" w:eastAsiaTheme="minorEastAsia" w:hAnsiTheme="minorHAnsi" w:cstheme="minorHAnsi"/>
                <w:i/>
                <w:szCs w:val="20"/>
                <w:lang w:val="sq-AL"/>
              </w:rPr>
            </w:pPr>
            <w:r>
              <w:rPr>
                <w:rFonts w:asciiTheme="minorHAnsi" w:eastAsiaTheme="minorEastAsia" w:hAnsiTheme="minorHAnsi" w:cstheme="minorHAnsi"/>
                <w:i/>
                <w:szCs w:val="20"/>
                <w:lang w:val="sq-AL"/>
              </w:rPr>
              <w:t>Theksi duhet t</w:t>
            </w:r>
            <w:r w:rsidR="006822F7">
              <w:rPr>
                <w:rFonts w:asciiTheme="minorHAnsi" w:eastAsiaTheme="minorEastAsia" w:hAnsiTheme="minorHAnsi" w:cstheme="minorHAnsi"/>
                <w:i/>
                <w:szCs w:val="20"/>
                <w:lang w:val="sq-AL"/>
              </w:rPr>
              <w:t>ë</w:t>
            </w:r>
            <w:r>
              <w:rPr>
                <w:rFonts w:asciiTheme="minorHAnsi" w:eastAsiaTheme="minorEastAsia" w:hAnsiTheme="minorHAnsi" w:cstheme="minorHAnsi"/>
                <w:i/>
                <w:szCs w:val="20"/>
                <w:lang w:val="sq-AL"/>
              </w:rPr>
              <w:t xml:space="preserve"> vihet mbi </w:t>
            </w:r>
            <w:r w:rsidR="00F66877" w:rsidRPr="009A66BD">
              <w:rPr>
                <w:rFonts w:asciiTheme="minorHAnsi" w:eastAsiaTheme="minorEastAsia" w:hAnsiTheme="minorHAnsi" w:cstheme="minorHAnsi"/>
                <w:i/>
                <w:szCs w:val="20"/>
                <w:lang w:val="sq-AL"/>
              </w:rPr>
              <w:t xml:space="preserve"> përfshirje</w:t>
            </w:r>
            <w:r>
              <w:rPr>
                <w:rFonts w:asciiTheme="minorHAnsi" w:eastAsiaTheme="minorEastAsia" w:hAnsiTheme="minorHAnsi" w:cstheme="minorHAnsi"/>
                <w:i/>
                <w:szCs w:val="20"/>
                <w:lang w:val="sq-AL"/>
              </w:rPr>
              <w:t xml:space="preserve">n e </w:t>
            </w:r>
            <w:r w:rsidR="00F66877" w:rsidRPr="009A66BD">
              <w:rPr>
                <w:rFonts w:asciiTheme="minorHAnsi" w:eastAsiaTheme="minorEastAsia" w:hAnsiTheme="minorHAnsi" w:cstheme="minorHAnsi"/>
                <w:i/>
                <w:szCs w:val="20"/>
                <w:lang w:val="sq-AL"/>
              </w:rPr>
              <w:t>komunave të interesuara në modulet e ndërtimit të kapaciteteve</w:t>
            </w:r>
            <w:r w:rsidR="007C32DD" w:rsidRPr="009A66BD">
              <w:rPr>
                <w:rFonts w:asciiTheme="minorHAnsi" w:eastAsiaTheme="minorEastAsia" w:hAnsiTheme="minorHAnsi" w:cstheme="minorHAnsi"/>
                <w:i/>
                <w:szCs w:val="20"/>
                <w:lang w:val="sq-AL"/>
              </w:rPr>
              <w:t>.</w:t>
            </w:r>
          </w:p>
        </w:tc>
      </w:tr>
      <w:tr w:rsidR="000E1E6F" w:rsidRPr="00612497" w14:paraId="308FEF25"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6ECD0669" w14:textId="77777777" w:rsidR="000E1E6F" w:rsidRPr="009A66BD" w:rsidRDefault="000E1E6F" w:rsidP="000E1E6F">
            <w:pPr>
              <w:spacing w:after="120" w:line="240" w:lineRule="auto"/>
              <w:ind w:firstLine="0"/>
              <w:jc w:val="left"/>
              <w:rPr>
                <w:rFonts w:asciiTheme="majorHAnsi" w:eastAsiaTheme="minorHAnsi" w:hAnsiTheme="majorHAnsi" w:cstheme="majorHAnsi"/>
                <w:szCs w:val="20"/>
                <w:lang w:val="sq-AL"/>
              </w:rPr>
            </w:pPr>
          </w:p>
        </w:tc>
        <w:tc>
          <w:tcPr>
            <w:tcW w:w="2610" w:type="dxa"/>
          </w:tcPr>
          <w:p w14:paraId="4A7BD78A" w14:textId="49CEB6E5" w:rsidR="000E1E6F" w:rsidRPr="009A66BD" w:rsidRDefault="000E1E6F" w:rsidP="00D54FF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5.3.3. </w:t>
            </w:r>
            <w:r w:rsidR="00D54FF6">
              <w:rPr>
                <w:rFonts w:asciiTheme="minorHAnsi" w:eastAsiaTheme="minorEastAsia" w:hAnsiTheme="minorHAnsi" w:cstheme="minorHAnsi"/>
                <w:szCs w:val="20"/>
                <w:lang w:val="sq-AL"/>
              </w:rPr>
              <w:t>Stafi i p</w:t>
            </w:r>
            <w:r w:rsidR="006822F7">
              <w:rPr>
                <w:rFonts w:asciiTheme="minorHAnsi" w:eastAsiaTheme="minorEastAsia" w:hAnsiTheme="minorHAnsi" w:cstheme="minorHAnsi"/>
                <w:szCs w:val="20"/>
                <w:lang w:val="sq-AL"/>
              </w:rPr>
              <w:t>ë</w:t>
            </w:r>
            <w:r w:rsidR="00D54FF6">
              <w:rPr>
                <w:rFonts w:asciiTheme="minorHAnsi" w:eastAsiaTheme="minorEastAsia" w:hAnsiTheme="minorHAnsi" w:cstheme="minorHAnsi"/>
                <w:szCs w:val="20"/>
                <w:lang w:val="sq-AL"/>
              </w:rPr>
              <w:t xml:space="preserve">rzgjedhur i </w:t>
            </w:r>
            <w:r w:rsidR="00A85B3D" w:rsidRPr="009A66BD">
              <w:rPr>
                <w:rFonts w:asciiTheme="minorHAnsi" w:eastAsiaTheme="minorEastAsia" w:hAnsiTheme="minorHAnsi" w:cstheme="minorHAnsi"/>
                <w:szCs w:val="20"/>
                <w:lang w:val="sq-AL"/>
              </w:rPr>
              <w:t>Agjenci</w:t>
            </w:r>
            <w:r w:rsidR="00D54FF6">
              <w:rPr>
                <w:rFonts w:asciiTheme="minorHAnsi" w:eastAsiaTheme="minorEastAsia" w:hAnsiTheme="minorHAnsi" w:cstheme="minorHAnsi"/>
                <w:szCs w:val="20"/>
                <w:lang w:val="sq-AL"/>
              </w:rPr>
              <w:t>s</w:t>
            </w:r>
            <w:r w:rsidR="006822F7">
              <w:rPr>
                <w:rFonts w:asciiTheme="minorHAnsi" w:eastAsiaTheme="minorEastAsia" w:hAnsiTheme="minorHAnsi" w:cstheme="minorHAnsi"/>
                <w:szCs w:val="20"/>
                <w:lang w:val="sq-AL"/>
              </w:rPr>
              <w:t>ë</w:t>
            </w:r>
            <w:r w:rsidR="00D54FF6">
              <w:rPr>
                <w:rFonts w:asciiTheme="minorHAnsi" w:eastAsiaTheme="minorEastAsia" w:hAnsiTheme="minorHAnsi" w:cstheme="minorHAnsi"/>
                <w:szCs w:val="20"/>
                <w:lang w:val="sq-AL"/>
              </w:rPr>
              <w:t xml:space="preserve"> </w:t>
            </w:r>
            <w:r w:rsidR="00A85B3D" w:rsidRPr="009A66BD">
              <w:rPr>
                <w:rFonts w:asciiTheme="minorHAnsi" w:eastAsiaTheme="minorEastAsia" w:hAnsiTheme="minorHAnsi" w:cstheme="minorHAnsi"/>
                <w:szCs w:val="20"/>
                <w:lang w:val="sq-AL"/>
              </w:rPr>
              <w:t xml:space="preserve"> dhe / ose  Ministri</w:t>
            </w:r>
            <w:r w:rsidR="00D54FF6">
              <w:rPr>
                <w:rFonts w:asciiTheme="minorHAnsi" w:eastAsiaTheme="minorEastAsia" w:hAnsiTheme="minorHAnsi" w:cstheme="minorHAnsi"/>
                <w:szCs w:val="20"/>
                <w:lang w:val="sq-AL"/>
              </w:rPr>
              <w:t>ve</w:t>
            </w:r>
            <w:r w:rsidR="00A85B3D" w:rsidRPr="009A66BD">
              <w:rPr>
                <w:rFonts w:asciiTheme="minorHAnsi" w:eastAsiaTheme="minorEastAsia" w:hAnsiTheme="minorHAnsi" w:cstheme="minorHAnsi"/>
                <w:szCs w:val="20"/>
                <w:lang w:val="sq-AL"/>
              </w:rPr>
              <w:t xml:space="preserve"> ndjekin modulet për ngritjen e kapaciteteve për promovimin e investimeve</w:t>
            </w:r>
          </w:p>
        </w:tc>
        <w:tc>
          <w:tcPr>
            <w:tcW w:w="900" w:type="dxa"/>
          </w:tcPr>
          <w:p w14:paraId="0C08AA78" w14:textId="2D62E06F" w:rsidR="000E1E6F" w:rsidRPr="009A66BD" w:rsidRDefault="000E1E6F"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2019 - 2020</w:t>
            </w:r>
          </w:p>
        </w:tc>
        <w:tc>
          <w:tcPr>
            <w:tcW w:w="1260" w:type="dxa"/>
          </w:tcPr>
          <w:p w14:paraId="43806F32" w14:textId="670DAF38" w:rsidR="000E1E6F" w:rsidRPr="009A66BD" w:rsidRDefault="0027480E"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 * dhe Ministritë / Autoritetet e interesuara</w:t>
            </w:r>
          </w:p>
        </w:tc>
        <w:tc>
          <w:tcPr>
            <w:tcW w:w="1980" w:type="dxa"/>
          </w:tcPr>
          <w:p w14:paraId="3136B472" w14:textId="52C24629" w:rsidR="000E1E6F" w:rsidRPr="009A66BD" w:rsidRDefault="00BE0DAF" w:rsidP="00E42BCD">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Formularët e vlerësimit të trajnimit dhe draft</w:t>
            </w:r>
            <w:r w:rsidR="00D54FF6">
              <w:rPr>
                <w:rFonts w:asciiTheme="minorHAnsi" w:eastAsiaTheme="minorEastAsia" w:hAnsiTheme="minorHAnsi" w:cstheme="minorHAnsi"/>
                <w:szCs w:val="20"/>
                <w:lang w:val="sq-AL"/>
              </w:rPr>
              <w:t>-</w:t>
            </w:r>
            <w:r w:rsidR="00E42BCD">
              <w:rPr>
                <w:rFonts w:asciiTheme="minorHAnsi" w:eastAsiaTheme="minorEastAsia" w:hAnsiTheme="minorHAnsi" w:cstheme="minorHAnsi"/>
                <w:szCs w:val="20"/>
                <w:lang w:val="sq-AL"/>
              </w:rPr>
              <w:t>produktet (rezultatet) e p</w:t>
            </w:r>
            <w:r w:rsidR="006822F7">
              <w:rPr>
                <w:rFonts w:asciiTheme="minorHAnsi" w:eastAsiaTheme="minorEastAsia" w:hAnsiTheme="minorHAnsi" w:cstheme="minorHAnsi"/>
                <w:szCs w:val="20"/>
                <w:lang w:val="sq-AL"/>
              </w:rPr>
              <w:t>ë</w:t>
            </w:r>
            <w:r w:rsidR="00E42BCD">
              <w:rPr>
                <w:rFonts w:asciiTheme="minorHAnsi" w:eastAsiaTheme="minorEastAsia" w:hAnsiTheme="minorHAnsi" w:cstheme="minorHAnsi"/>
                <w:szCs w:val="20"/>
                <w:lang w:val="sq-AL"/>
              </w:rPr>
              <w:t>rzgjedhura</w:t>
            </w:r>
            <w:r w:rsidRPr="009A66BD">
              <w:rPr>
                <w:rFonts w:asciiTheme="minorHAnsi" w:eastAsiaTheme="minorEastAsia" w:hAnsiTheme="minorHAnsi" w:cstheme="minorHAnsi"/>
                <w:szCs w:val="20"/>
                <w:lang w:val="sq-AL"/>
              </w:rPr>
              <w:t>.</w:t>
            </w:r>
          </w:p>
        </w:tc>
        <w:tc>
          <w:tcPr>
            <w:tcW w:w="1080" w:type="dxa"/>
          </w:tcPr>
          <w:p w14:paraId="1F39D42C" w14:textId="0C929628" w:rsidR="000E1E6F" w:rsidRPr="009A66BD" w:rsidRDefault="008D5E84" w:rsidP="000E1E6F">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088D5203" w14:textId="5ED591DF" w:rsidR="000E1E6F" w:rsidRPr="009A66BD" w:rsidRDefault="009F152C" w:rsidP="007F1663">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Trajnimet do të përpiqen të sigurojnë një draft</w:t>
            </w:r>
            <w:r w:rsidR="007F1663">
              <w:rPr>
                <w:rFonts w:asciiTheme="minorHAnsi" w:eastAsiaTheme="minorEastAsia" w:hAnsiTheme="minorHAnsi" w:cstheme="minorHAnsi"/>
                <w:i/>
                <w:szCs w:val="20"/>
                <w:lang w:val="sq-AL"/>
              </w:rPr>
              <w:t xml:space="preserve">-produkt </w:t>
            </w:r>
            <w:r w:rsidRPr="009A66BD">
              <w:rPr>
                <w:rFonts w:asciiTheme="minorHAnsi" w:eastAsiaTheme="minorEastAsia" w:hAnsiTheme="minorHAnsi" w:cstheme="minorHAnsi"/>
                <w:i/>
                <w:szCs w:val="20"/>
                <w:lang w:val="sq-AL"/>
              </w:rPr>
              <w:t xml:space="preserve"> specifik në mënyrë që trajnimet të rezultojnë në  program</w:t>
            </w:r>
            <w:r w:rsidR="007F1663">
              <w:rPr>
                <w:rFonts w:asciiTheme="minorHAnsi" w:eastAsiaTheme="minorEastAsia" w:hAnsiTheme="minorHAnsi" w:cstheme="minorHAnsi"/>
                <w:i/>
                <w:szCs w:val="20"/>
                <w:lang w:val="sq-AL"/>
              </w:rPr>
              <w:t>e</w:t>
            </w:r>
            <w:r w:rsidRPr="009A66BD">
              <w:rPr>
                <w:rFonts w:asciiTheme="minorHAnsi" w:eastAsiaTheme="minorEastAsia" w:hAnsiTheme="minorHAnsi" w:cstheme="minorHAnsi"/>
                <w:i/>
                <w:szCs w:val="20"/>
                <w:lang w:val="sq-AL"/>
              </w:rPr>
              <w:t xml:space="preserve"> pune dhe / ose udhëzime konkrete dhe të zbatueshme. </w:t>
            </w:r>
            <w:r w:rsidR="007F1663">
              <w:rPr>
                <w:rFonts w:asciiTheme="minorHAnsi" w:eastAsiaTheme="minorEastAsia" w:hAnsiTheme="minorHAnsi" w:cstheme="minorHAnsi"/>
                <w:i/>
                <w:szCs w:val="20"/>
                <w:lang w:val="sq-AL"/>
              </w:rPr>
              <w:t xml:space="preserve">Afati kohor i zgjatur </w:t>
            </w:r>
            <w:r w:rsidRPr="009A66BD">
              <w:rPr>
                <w:rFonts w:asciiTheme="minorHAnsi" w:eastAsiaTheme="minorEastAsia" w:hAnsiTheme="minorHAnsi" w:cstheme="minorHAnsi"/>
                <w:i/>
                <w:szCs w:val="20"/>
                <w:lang w:val="sq-AL"/>
              </w:rPr>
              <w:t xml:space="preserve"> në bazë të orarit të zbatimit të punëtorive të përzgjedhura të trajnimit</w:t>
            </w:r>
            <w:r w:rsidR="000E1E6F" w:rsidRPr="009A66BD">
              <w:rPr>
                <w:rFonts w:asciiTheme="minorHAnsi" w:eastAsiaTheme="minorEastAsia" w:hAnsiTheme="minorHAnsi" w:cstheme="minorHAnsi"/>
                <w:i/>
                <w:szCs w:val="20"/>
                <w:lang w:val="sq-AL"/>
              </w:rPr>
              <w:t>.</w:t>
            </w:r>
          </w:p>
        </w:tc>
      </w:tr>
      <w:tr w:rsidR="004D07F1" w:rsidRPr="00612497" w14:paraId="03E79E9A" w14:textId="77777777" w:rsidTr="00D43D3C">
        <w:trPr>
          <w:trHeight w:val="1015"/>
        </w:trPr>
        <w:tc>
          <w:tcPr>
            <w:tcW w:w="2335" w:type="dxa"/>
            <w:vMerge w:val="restart"/>
          </w:tcPr>
          <w:p w14:paraId="1CD61ECF" w14:textId="7B8F577D" w:rsidR="004D07F1" w:rsidRPr="009A66BD" w:rsidRDefault="004D07F1" w:rsidP="007F1663">
            <w:pPr>
              <w:spacing w:after="120" w:line="240" w:lineRule="auto"/>
              <w:ind w:left="520"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t xml:space="preserve">5.4 </w:t>
            </w:r>
            <w:r w:rsidR="007F1663" w:rsidRPr="007F1663">
              <w:rPr>
                <w:rFonts w:asciiTheme="majorHAnsi" w:eastAsiaTheme="minorEastAsia" w:hAnsiTheme="majorHAnsi" w:cstheme="majorHAnsi"/>
                <w:i/>
                <w:iCs/>
                <w:szCs w:val="20"/>
                <w:lang w:val="sq-AL"/>
              </w:rPr>
              <w:t xml:space="preserve">Realizimi i një </w:t>
            </w:r>
            <w:r w:rsidR="007F1663">
              <w:rPr>
                <w:rFonts w:asciiTheme="majorHAnsi" w:eastAsiaTheme="minorEastAsia" w:hAnsiTheme="majorHAnsi" w:cstheme="majorHAnsi"/>
                <w:i/>
                <w:iCs/>
                <w:szCs w:val="20"/>
                <w:lang w:val="sq-AL"/>
              </w:rPr>
              <w:t>skanimi</w:t>
            </w:r>
            <w:r w:rsidR="007F1663" w:rsidRPr="007F1663">
              <w:rPr>
                <w:rFonts w:asciiTheme="majorHAnsi" w:eastAsiaTheme="minorEastAsia" w:hAnsiTheme="majorHAnsi" w:cstheme="majorHAnsi"/>
                <w:i/>
                <w:iCs/>
                <w:szCs w:val="20"/>
                <w:lang w:val="sq-AL"/>
              </w:rPr>
              <w:t xml:space="preserve"> të thellë të sektorit për t'i identifikuar sektorët dhe propozicionet e vlerës për promovimin e investimeve rajonale, me lidhje të qarta </w:t>
            </w:r>
            <w:r w:rsidR="007F1663" w:rsidRPr="007F1663">
              <w:rPr>
                <w:rFonts w:asciiTheme="majorHAnsi" w:eastAsiaTheme="minorEastAsia" w:hAnsiTheme="majorHAnsi" w:cstheme="majorHAnsi"/>
                <w:i/>
                <w:iCs/>
                <w:szCs w:val="20"/>
                <w:lang w:val="sq-AL"/>
              </w:rPr>
              <w:lastRenderedPageBreak/>
              <w:t>horizontale me shtyllën e MAP REA</w:t>
            </w:r>
            <w:r w:rsidR="007F1663">
              <w:rPr>
                <w:rFonts w:asciiTheme="majorHAnsi" w:eastAsiaTheme="minorEastAsia" w:hAnsiTheme="majorHAnsi" w:cstheme="majorHAnsi"/>
                <w:i/>
                <w:iCs/>
                <w:szCs w:val="20"/>
                <w:lang w:val="sq-AL"/>
              </w:rPr>
              <w:t xml:space="preserve"> (Plani shum</w:t>
            </w:r>
            <w:r w:rsidR="006822F7">
              <w:rPr>
                <w:rFonts w:asciiTheme="majorHAnsi" w:eastAsiaTheme="minorEastAsia" w:hAnsiTheme="majorHAnsi" w:cstheme="majorHAnsi"/>
                <w:i/>
                <w:iCs/>
                <w:szCs w:val="20"/>
                <w:lang w:val="sq-AL"/>
              </w:rPr>
              <w:t>ë</w:t>
            </w:r>
            <w:r w:rsidR="007F1663">
              <w:rPr>
                <w:rFonts w:asciiTheme="majorHAnsi" w:eastAsiaTheme="minorEastAsia" w:hAnsiTheme="majorHAnsi" w:cstheme="majorHAnsi"/>
                <w:i/>
                <w:iCs/>
                <w:szCs w:val="20"/>
                <w:lang w:val="sq-AL"/>
              </w:rPr>
              <w:t>vjeçar i veprimit p</w:t>
            </w:r>
            <w:r w:rsidR="006822F7">
              <w:rPr>
                <w:rFonts w:asciiTheme="majorHAnsi" w:eastAsiaTheme="minorEastAsia" w:hAnsiTheme="majorHAnsi" w:cstheme="majorHAnsi"/>
                <w:i/>
                <w:iCs/>
                <w:szCs w:val="20"/>
                <w:lang w:val="sq-AL"/>
              </w:rPr>
              <w:t>ë</w:t>
            </w:r>
            <w:r w:rsidR="007F1663">
              <w:rPr>
                <w:rFonts w:asciiTheme="majorHAnsi" w:eastAsiaTheme="minorEastAsia" w:hAnsiTheme="majorHAnsi" w:cstheme="majorHAnsi"/>
                <w:i/>
                <w:iCs/>
                <w:szCs w:val="20"/>
                <w:lang w:val="sq-AL"/>
              </w:rPr>
              <w:t>r zon</w:t>
            </w:r>
            <w:r w:rsidR="006822F7">
              <w:rPr>
                <w:rFonts w:asciiTheme="majorHAnsi" w:eastAsiaTheme="minorEastAsia" w:hAnsiTheme="majorHAnsi" w:cstheme="majorHAnsi"/>
                <w:i/>
                <w:iCs/>
                <w:szCs w:val="20"/>
                <w:lang w:val="sq-AL"/>
              </w:rPr>
              <w:t>ë</w:t>
            </w:r>
            <w:r w:rsidR="007F1663">
              <w:rPr>
                <w:rFonts w:asciiTheme="majorHAnsi" w:eastAsiaTheme="minorEastAsia" w:hAnsiTheme="majorHAnsi" w:cstheme="majorHAnsi"/>
                <w:i/>
                <w:iCs/>
                <w:szCs w:val="20"/>
                <w:lang w:val="sq-AL"/>
              </w:rPr>
              <w:t xml:space="preserve">n ekonomike rajonale) </w:t>
            </w:r>
            <w:r w:rsidR="007F1663" w:rsidRPr="007F1663">
              <w:rPr>
                <w:rFonts w:asciiTheme="majorHAnsi" w:eastAsiaTheme="minorEastAsia" w:hAnsiTheme="majorHAnsi" w:cstheme="majorHAnsi"/>
                <w:i/>
                <w:iCs/>
                <w:szCs w:val="20"/>
                <w:lang w:val="sq-AL"/>
              </w:rPr>
              <w:t xml:space="preserve"> pë</w:t>
            </w:r>
            <w:r w:rsidR="007F1663">
              <w:rPr>
                <w:rFonts w:asciiTheme="majorHAnsi" w:eastAsiaTheme="minorEastAsia" w:hAnsiTheme="majorHAnsi" w:cstheme="majorHAnsi"/>
                <w:i/>
                <w:iCs/>
                <w:szCs w:val="20"/>
                <w:lang w:val="sq-AL"/>
              </w:rPr>
              <w:t xml:space="preserve">r </w:t>
            </w:r>
            <w:r w:rsidR="009C4563">
              <w:rPr>
                <w:rFonts w:asciiTheme="majorHAnsi" w:eastAsiaTheme="minorEastAsia" w:hAnsiTheme="majorHAnsi" w:cstheme="majorHAnsi"/>
                <w:i/>
                <w:iCs/>
                <w:szCs w:val="20"/>
                <w:lang w:val="sq-AL"/>
              </w:rPr>
              <w:t>“</w:t>
            </w:r>
            <w:r w:rsidR="007F1663">
              <w:rPr>
                <w:rFonts w:asciiTheme="majorHAnsi" w:eastAsiaTheme="minorEastAsia" w:hAnsiTheme="majorHAnsi" w:cstheme="majorHAnsi"/>
                <w:i/>
                <w:iCs/>
                <w:szCs w:val="20"/>
                <w:lang w:val="sq-AL"/>
              </w:rPr>
              <w:t>specializimin e mençur</w:t>
            </w:r>
            <w:r w:rsidR="009C4563">
              <w:rPr>
                <w:rFonts w:asciiTheme="majorHAnsi" w:eastAsiaTheme="minorEastAsia" w:hAnsiTheme="majorHAnsi" w:cstheme="majorHAnsi"/>
                <w:i/>
                <w:iCs/>
                <w:szCs w:val="20"/>
                <w:lang w:val="sq-AL"/>
              </w:rPr>
              <w:t>”</w:t>
            </w:r>
            <w:r w:rsidR="00BF7229" w:rsidRPr="009A66BD">
              <w:rPr>
                <w:rFonts w:asciiTheme="majorHAnsi" w:eastAsiaTheme="minorEastAsia" w:hAnsiTheme="majorHAnsi" w:cstheme="majorHAnsi"/>
                <w:i/>
                <w:iCs/>
                <w:szCs w:val="20"/>
                <w:lang w:val="sq-AL"/>
              </w:rPr>
              <w:t>.</w:t>
            </w:r>
          </w:p>
        </w:tc>
        <w:tc>
          <w:tcPr>
            <w:tcW w:w="2610" w:type="dxa"/>
          </w:tcPr>
          <w:p w14:paraId="5D689FCC" w14:textId="67B87EDF" w:rsidR="004D07F1" w:rsidRPr="009A66BD" w:rsidRDefault="004D07F1" w:rsidP="007F166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 xml:space="preserve">5.4.1. </w:t>
            </w:r>
            <w:r w:rsidR="00D86F80" w:rsidRPr="00587034">
              <w:rPr>
                <w:rFonts w:asciiTheme="minorHAnsi" w:eastAsiaTheme="minorEastAsia" w:hAnsiTheme="minorHAnsi" w:cstheme="minorHAnsi"/>
                <w:szCs w:val="20"/>
                <w:lang w:val="sq-AL"/>
              </w:rPr>
              <w:t>Përzgjidhni</w:t>
            </w:r>
            <w:r w:rsidR="00587034" w:rsidRPr="00587034">
              <w:rPr>
                <w:rFonts w:asciiTheme="minorHAnsi" w:eastAsiaTheme="minorEastAsia" w:hAnsiTheme="minorHAnsi" w:cstheme="minorHAnsi"/>
                <w:szCs w:val="20"/>
                <w:lang w:val="sq-AL"/>
              </w:rPr>
              <w:t xml:space="preserve"> dhe / ose propozoni 3 sektor</w:t>
            </w:r>
            <w:r w:rsidR="006822F7">
              <w:rPr>
                <w:rFonts w:asciiTheme="minorHAnsi" w:eastAsiaTheme="minorEastAsia" w:hAnsiTheme="minorHAnsi" w:cstheme="minorHAnsi"/>
                <w:szCs w:val="20"/>
                <w:lang w:val="sq-AL"/>
              </w:rPr>
              <w:t>ë</w:t>
            </w:r>
            <w:r w:rsidR="00587034" w:rsidRPr="00587034">
              <w:rPr>
                <w:rFonts w:asciiTheme="minorHAnsi" w:eastAsiaTheme="minorEastAsia" w:hAnsiTheme="minorHAnsi" w:cstheme="minorHAnsi"/>
                <w:szCs w:val="20"/>
                <w:lang w:val="sq-AL"/>
              </w:rPr>
              <w:t xml:space="preserve"> për promovimin e investimeve rajonale bazuar në prioritetet </w:t>
            </w:r>
            <w:r w:rsidR="007F1663">
              <w:rPr>
                <w:rFonts w:asciiTheme="minorHAnsi" w:eastAsiaTheme="minorEastAsia" w:hAnsiTheme="minorHAnsi" w:cstheme="minorHAnsi"/>
                <w:szCs w:val="20"/>
                <w:lang w:val="sq-AL"/>
              </w:rPr>
              <w:t xml:space="preserve">sektoriale </w:t>
            </w:r>
            <w:r w:rsidR="00587034" w:rsidRPr="00587034">
              <w:rPr>
                <w:rFonts w:asciiTheme="minorHAnsi" w:eastAsiaTheme="minorEastAsia" w:hAnsiTheme="minorHAnsi" w:cstheme="minorHAnsi"/>
                <w:szCs w:val="20"/>
                <w:lang w:val="sq-AL"/>
              </w:rPr>
              <w:t>të ekonomisë</w:t>
            </w:r>
            <w:r w:rsidRPr="009A66BD">
              <w:rPr>
                <w:rFonts w:asciiTheme="minorHAnsi" w:eastAsiaTheme="minorEastAsia" w:hAnsiTheme="minorHAnsi" w:cstheme="minorHAnsi"/>
                <w:szCs w:val="20"/>
                <w:lang w:val="sq-AL"/>
              </w:rPr>
              <w:t>.</w:t>
            </w:r>
          </w:p>
        </w:tc>
        <w:tc>
          <w:tcPr>
            <w:tcW w:w="900" w:type="dxa"/>
          </w:tcPr>
          <w:p w14:paraId="11C74295" w14:textId="04134D97" w:rsidR="004D07F1" w:rsidRPr="009A66BD" w:rsidRDefault="0066150C"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Qershor</w:t>
            </w:r>
            <w:r w:rsidR="004D07F1" w:rsidRPr="009A66BD">
              <w:rPr>
                <w:rFonts w:asciiTheme="minorHAnsi" w:eastAsiaTheme="minorEastAsia" w:hAnsiTheme="minorHAnsi" w:cstheme="minorHAnsi"/>
                <w:szCs w:val="20"/>
                <w:lang w:val="sq-AL"/>
              </w:rPr>
              <w:t xml:space="preserve"> 2019</w:t>
            </w:r>
          </w:p>
        </w:tc>
        <w:tc>
          <w:tcPr>
            <w:tcW w:w="1260" w:type="dxa"/>
          </w:tcPr>
          <w:p w14:paraId="24521011" w14:textId="77F76BF5" w:rsidR="004D07F1" w:rsidRPr="009A66BD" w:rsidRDefault="0063032B"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Ministria e Tregtisë dhe Industrisë</w:t>
            </w:r>
          </w:p>
        </w:tc>
        <w:tc>
          <w:tcPr>
            <w:tcW w:w="1980" w:type="dxa"/>
          </w:tcPr>
          <w:p w14:paraId="7B3F3004" w14:textId="04985003" w:rsidR="004D07F1" w:rsidRPr="009A66BD" w:rsidRDefault="007F1663" w:rsidP="007F1663">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HAnsi"/>
                <w:szCs w:val="20"/>
                <w:lang w:val="sq-AL"/>
              </w:rPr>
              <w:t>Sektor</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 xml:space="preserve">t </w:t>
            </w:r>
            <w:proofErr w:type="spellStart"/>
            <w:r>
              <w:rPr>
                <w:rFonts w:asciiTheme="minorHAnsi" w:eastAsiaTheme="minorEastAsia" w:hAnsiTheme="minorHAnsi" w:cstheme="minorHAnsi"/>
                <w:szCs w:val="20"/>
                <w:lang w:val="sq-AL"/>
              </w:rPr>
              <w:t>prioritar</w:t>
            </w:r>
            <w:r w:rsidR="006822F7">
              <w:rPr>
                <w:rFonts w:asciiTheme="minorHAnsi" w:eastAsiaTheme="minorEastAsia" w:hAnsiTheme="minorHAnsi" w:cstheme="minorHAnsi"/>
                <w:szCs w:val="20"/>
                <w:lang w:val="sq-AL"/>
              </w:rPr>
              <w:t>ë</w:t>
            </w:r>
            <w:proofErr w:type="spellEnd"/>
            <w:r>
              <w:rPr>
                <w:rFonts w:asciiTheme="minorHAnsi" w:eastAsiaTheme="minorEastAsia" w:hAnsiTheme="minorHAnsi" w:cstheme="minorHAnsi"/>
                <w:szCs w:val="20"/>
                <w:lang w:val="sq-AL"/>
              </w:rPr>
              <w:t xml:space="preserve"> p</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r promovim rajonal, t</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 xml:space="preserve"> propozuar</w:t>
            </w:r>
            <w:r w:rsidR="009A55EE" w:rsidRPr="009A66BD">
              <w:rPr>
                <w:rFonts w:asciiTheme="minorHAnsi" w:eastAsiaTheme="minorEastAsia" w:hAnsiTheme="minorHAnsi" w:cstheme="minorHAnsi"/>
                <w:szCs w:val="20"/>
                <w:lang w:val="sq-AL"/>
              </w:rPr>
              <w:t>.</w:t>
            </w:r>
          </w:p>
        </w:tc>
        <w:tc>
          <w:tcPr>
            <w:tcW w:w="1080" w:type="dxa"/>
          </w:tcPr>
          <w:p w14:paraId="4E151933" w14:textId="54BE45E1" w:rsidR="004D07F1" w:rsidRPr="009A66BD" w:rsidRDefault="00045F5A"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4508" w:type="dxa"/>
          </w:tcPr>
          <w:p w14:paraId="1A748A3A" w14:textId="0CADD41C" w:rsidR="004D07F1" w:rsidRPr="009A66BD" w:rsidRDefault="002849B2" w:rsidP="009C4563">
            <w:pPr>
              <w:spacing w:after="120" w:line="240" w:lineRule="auto"/>
              <w:ind w:firstLine="0"/>
              <w:jc w:val="left"/>
              <w:rPr>
                <w:rFonts w:asciiTheme="minorHAnsi" w:eastAsiaTheme="minorEastAsia" w:hAnsiTheme="minorHAnsi" w:cstheme="minorHAnsi"/>
                <w:i/>
                <w:szCs w:val="20"/>
                <w:lang w:val="sq-AL"/>
              </w:rPr>
            </w:pPr>
            <w:r w:rsidRPr="009A66BD">
              <w:rPr>
                <w:rFonts w:asciiTheme="minorHAnsi" w:eastAsiaTheme="minorEastAsia" w:hAnsiTheme="minorHAnsi" w:cstheme="minorHAnsi"/>
                <w:i/>
                <w:szCs w:val="20"/>
                <w:lang w:val="sq-AL"/>
              </w:rPr>
              <w:t xml:space="preserve">Ministria e Tregtisë dhe Industrisë, në koordinimin e përzgjedhjes së sektorëve, do të konsultohet veçanërisht me Komitetin Drejtues për Strategjinë Kombëtare të </w:t>
            </w:r>
            <w:r w:rsidR="009C4563">
              <w:rPr>
                <w:rFonts w:asciiTheme="minorHAnsi" w:eastAsiaTheme="minorEastAsia" w:hAnsiTheme="minorHAnsi" w:cstheme="minorHAnsi"/>
                <w:i/>
                <w:szCs w:val="20"/>
                <w:lang w:val="sq-AL"/>
              </w:rPr>
              <w:t xml:space="preserve">Specializimit </w:t>
            </w:r>
            <w:r w:rsidRPr="009A66BD">
              <w:rPr>
                <w:rFonts w:asciiTheme="minorHAnsi" w:eastAsiaTheme="minorEastAsia" w:hAnsiTheme="minorHAnsi" w:cstheme="minorHAnsi"/>
                <w:i/>
                <w:szCs w:val="20"/>
                <w:lang w:val="sq-AL"/>
              </w:rPr>
              <w:t>të Mençur</w:t>
            </w:r>
            <w:r w:rsidR="003D1C69" w:rsidRPr="009A66BD">
              <w:rPr>
                <w:rFonts w:asciiTheme="minorHAnsi" w:eastAsiaTheme="minorEastAsia" w:hAnsiTheme="minorHAnsi" w:cstheme="minorHAnsi"/>
                <w:i/>
                <w:szCs w:val="20"/>
                <w:lang w:val="sq-AL"/>
              </w:rPr>
              <w:t>.</w:t>
            </w:r>
          </w:p>
        </w:tc>
      </w:tr>
      <w:tr w:rsidR="004D07F1" w:rsidRPr="009A66BD" w14:paraId="3D038454"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67BC3104" w14:textId="77777777" w:rsidR="004D07F1" w:rsidRPr="009A66BD" w:rsidRDefault="004D07F1" w:rsidP="000E1E6F">
            <w:pPr>
              <w:spacing w:after="120" w:line="240" w:lineRule="auto"/>
              <w:ind w:firstLine="0"/>
              <w:jc w:val="left"/>
              <w:rPr>
                <w:rFonts w:asciiTheme="minorHAnsi" w:eastAsiaTheme="minorHAnsi" w:hAnsiTheme="minorHAnsi" w:cstheme="minorHAnsi"/>
                <w:szCs w:val="20"/>
                <w:lang w:val="sq-AL"/>
              </w:rPr>
            </w:pPr>
          </w:p>
        </w:tc>
        <w:tc>
          <w:tcPr>
            <w:tcW w:w="2610" w:type="dxa"/>
          </w:tcPr>
          <w:p w14:paraId="39B153B3" w14:textId="1E48CBFA" w:rsidR="004D07F1" w:rsidRPr="009A66BD" w:rsidRDefault="004D07F1" w:rsidP="009C456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5.4.2. </w:t>
            </w:r>
            <w:r w:rsidR="00E51522" w:rsidRPr="009A66BD">
              <w:rPr>
                <w:rFonts w:asciiTheme="minorHAnsi" w:eastAsiaTheme="minorEastAsia" w:hAnsiTheme="minorHAnsi" w:cstheme="minorHAnsi"/>
                <w:szCs w:val="20"/>
                <w:lang w:val="sq-AL"/>
              </w:rPr>
              <w:t>Diskut</w:t>
            </w:r>
            <w:r w:rsidR="009C4563">
              <w:rPr>
                <w:rFonts w:asciiTheme="minorHAnsi" w:eastAsiaTheme="minorEastAsia" w:hAnsiTheme="minorHAnsi" w:cstheme="minorHAnsi"/>
                <w:szCs w:val="20"/>
                <w:lang w:val="sq-AL"/>
              </w:rPr>
              <w:t xml:space="preserve">imi dhe </w:t>
            </w:r>
            <w:proofErr w:type="spellStart"/>
            <w:r w:rsidR="009C4563">
              <w:rPr>
                <w:rFonts w:asciiTheme="minorHAnsi" w:eastAsiaTheme="minorEastAsia" w:hAnsiTheme="minorHAnsi" w:cstheme="minorHAnsi"/>
                <w:szCs w:val="20"/>
                <w:lang w:val="sq-AL"/>
              </w:rPr>
              <w:t>dakordimi</w:t>
            </w:r>
            <w:proofErr w:type="spellEnd"/>
            <w:r w:rsidR="009C4563">
              <w:rPr>
                <w:rFonts w:asciiTheme="minorHAnsi" w:eastAsiaTheme="minorEastAsia" w:hAnsiTheme="minorHAnsi" w:cstheme="minorHAnsi"/>
                <w:szCs w:val="20"/>
                <w:lang w:val="sq-AL"/>
              </w:rPr>
              <w:t xml:space="preserve"> p</w:t>
            </w:r>
            <w:r w:rsidR="00E51522" w:rsidRPr="009A66BD">
              <w:rPr>
                <w:rFonts w:asciiTheme="minorHAnsi" w:eastAsiaTheme="minorEastAsia" w:hAnsiTheme="minorHAnsi" w:cstheme="minorHAnsi"/>
                <w:szCs w:val="20"/>
                <w:lang w:val="sq-AL"/>
              </w:rPr>
              <w:t xml:space="preserve">ër një </w:t>
            </w:r>
            <w:r w:rsidR="005359BF" w:rsidRPr="009A66BD">
              <w:rPr>
                <w:rFonts w:asciiTheme="minorHAnsi" w:eastAsiaTheme="minorEastAsia" w:hAnsiTheme="minorHAnsi" w:cstheme="minorHAnsi"/>
                <w:szCs w:val="20"/>
                <w:lang w:val="sq-AL"/>
              </w:rPr>
              <w:t xml:space="preserve">pilot </w:t>
            </w:r>
            <w:r w:rsidR="00E51522" w:rsidRPr="009A66BD">
              <w:rPr>
                <w:rFonts w:asciiTheme="minorHAnsi" w:eastAsiaTheme="minorEastAsia" w:hAnsiTheme="minorHAnsi" w:cstheme="minorHAnsi"/>
                <w:szCs w:val="20"/>
                <w:lang w:val="sq-AL"/>
              </w:rPr>
              <w:t xml:space="preserve">sektor që do të </w:t>
            </w:r>
            <w:proofErr w:type="spellStart"/>
            <w:r w:rsidR="009C4563">
              <w:rPr>
                <w:rFonts w:asciiTheme="minorHAnsi" w:eastAsiaTheme="minorEastAsia" w:hAnsiTheme="minorHAnsi" w:cstheme="minorHAnsi"/>
                <w:szCs w:val="20"/>
                <w:lang w:val="sq-AL"/>
              </w:rPr>
              <w:t>prioritizohet</w:t>
            </w:r>
            <w:proofErr w:type="spellEnd"/>
            <w:r w:rsidR="009C4563">
              <w:rPr>
                <w:rFonts w:asciiTheme="minorHAnsi" w:eastAsiaTheme="minorEastAsia" w:hAnsiTheme="minorHAnsi" w:cstheme="minorHAnsi"/>
                <w:szCs w:val="20"/>
                <w:lang w:val="sq-AL"/>
              </w:rPr>
              <w:t xml:space="preserve"> </w:t>
            </w:r>
            <w:r w:rsidR="00E51522" w:rsidRPr="009A66BD">
              <w:rPr>
                <w:rFonts w:asciiTheme="minorHAnsi" w:eastAsiaTheme="minorEastAsia" w:hAnsiTheme="minorHAnsi" w:cstheme="minorHAnsi"/>
                <w:szCs w:val="20"/>
                <w:lang w:val="sq-AL"/>
              </w:rPr>
              <w:t xml:space="preserve">për promovim rajonal </w:t>
            </w:r>
            <w:r w:rsidR="00E51522" w:rsidRPr="009A66BD">
              <w:rPr>
                <w:rFonts w:asciiTheme="minorHAnsi" w:eastAsiaTheme="minorEastAsia" w:hAnsiTheme="minorHAnsi" w:cstheme="minorHAnsi"/>
                <w:szCs w:val="20"/>
                <w:lang w:val="sq-AL"/>
              </w:rPr>
              <w:lastRenderedPageBreak/>
              <w:t xml:space="preserve">përmes platformës </w:t>
            </w:r>
            <w:r w:rsidR="009C4563">
              <w:rPr>
                <w:rFonts w:asciiTheme="minorHAnsi" w:eastAsiaTheme="minorEastAsia" w:hAnsiTheme="minorHAnsi" w:cstheme="minorHAnsi"/>
                <w:szCs w:val="20"/>
                <w:lang w:val="sq-AL"/>
              </w:rPr>
              <w:t>t</w:t>
            </w:r>
            <w:r w:rsidR="006822F7">
              <w:rPr>
                <w:rFonts w:asciiTheme="minorHAnsi" w:eastAsiaTheme="minorEastAsia" w:hAnsiTheme="minorHAnsi" w:cstheme="minorHAnsi"/>
                <w:szCs w:val="20"/>
                <w:lang w:val="sq-AL"/>
              </w:rPr>
              <w:t>ë</w:t>
            </w:r>
            <w:r w:rsidR="009C4563">
              <w:rPr>
                <w:rFonts w:asciiTheme="minorHAnsi" w:eastAsiaTheme="minorEastAsia" w:hAnsiTheme="minorHAnsi" w:cstheme="minorHAnsi"/>
                <w:szCs w:val="20"/>
                <w:lang w:val="sq-AL"/>
              </w:rPr>
              <w:t xml:space="preserve"> </w:t>
            </w:r>
            <w:r w:rsidR="00E51522" w:rsidRPr="009A66BD">
              <w:rPr>
                <w:rFonts w:asciiTheme="minorHAnsi" w:eastAsiaTheme="minorEastAsia" w:hAnsiTheme="minorHAnsi" w:cstheme="minorHAnsi"/>
                <w:szCs w:val="20"/>
                <w:lang w:val="sq-AL"/>
              </w:rPr>
              <w:t xml:space="preserve"> </w:t>
            </w:r>
            <w:proofErr w:type="spellStart"/>
            <w:r w:rsidR="00E51522" w:rsidRPr="009A66BD">
              <w:rPr>
                <w:rFonts w:asciiTheme="minorHAnsi" w:eastAsiaTheme="minorEastAsia" w:hAnsiTheme="minorHAnsi" w:cstheme="minorHAnsi"/>
                <w:szCs w:val="20"/>
                <w:lang w:val="sq-AL"/>
              </w:rPr>
              <w:t>formalizuar</w:t>
            </w:r>
            <w:proofErr w:type="spellEnd"/>
            <w:r w:rsidR="00E51522" w:rsidRPr="009A66BD">
              <w:rPr>
                <w:rFonts w:asciiTheme="minorHAnsi" w:eastAsiaTheme="minorEastAsia" w:hAnsiTheme="minorHAnsi" w:cstheme="minorHAnsi"/>
                <w:szCs w:val="20"/>
                <w:lang w:val="sq-AL"/>
              </w:rPr>
              <w:t xml:space="preserve"> sipas pikës 5.1</w:t>
            </w:r>
            <w:r w:rsidRPr="009A66BD">
              <w:rPr>
                <w:rFonts w:asciiTheme="minorHAnsi" w:eastAsiaTheme="minorEastAsia" w:hAnsiTheme="minorHAnsi" w:cstheme="minorHAnsi"/>
                <w:szCs w:val="20"/>
                <w:lang w:val="sq-AL"/>
              </w:rPr>
              <w:t>.</w:t>
            </w:r>
          </w:p>
        </w:tc>
        <w:tc>
          <w:tcPr>
            <w:tcW w:w="900" w:type="dxa"/>
          </w:tcPr>
          <w:p w14:paraId="62E4CD6C" w14:textId="6A5794E1" w:rsidR="004D07F1" w:rsidRPr="009A66BD" w:rsidRDefault="0066150C"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Shtator</w:t>
            </w:r>
            <w:r w:rsidR="004D07F1" w:rsidRPr="009A66BD">
              <w:rPr>
                <w:rFonts w:asciiTheme="minorHAnsi" w:eastAsiaTheme="minorEastAsia" w:hAnsiTheme="minorHAnsi" w:cstheme="minorHAnsi"/>
                <w:szCs w:val="20"/>
                <w:lang w:val="sq-AL"/>
              </w:rPr>
              <w:t xml:space="preserve"> 2019</w:t>
            </w:r>
          </w:p>
        </w:tc>
        <w:tc>
          <w:tcPr>
            <w:tcW w:w="1260" w:type="dxa"/>
          </w:tcPr>
          <w:p w14:paraId="7EA98870" w14:textId="64FDB68E" w:rsidR="004D07F1" w:rsidRPr="009A66BD" w:rsidRDefault="005B2877"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48E43995" w14:textId="546D0191" w:rsidR="004D07F1" w:rsidRPr="009A66BD" w:rsidRDefault="009A55EE" w:rsidP="009C456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Marrëveshja dhe vendimi </w:t>
            </w:r>
            <w:r w:rsidR="009C4563">
              <w:rPr>
                <w:rFonts w:asciiTheme="minorHAnsi" w:eastAsiaTheme="minorEastAsia" w:hAnsiTheme="minorHAnsi" w:cstheme="minorHAnsi"/>
                <w:szCs w:val="20"/>
                <w:lang w:val="sq-AL"/>
              </w:rPr>
              <w:t>mbi</w:t>
            </w:r>
            <w:r w:rsidRPr="009A66BD">
              <w:rPr>
                <w:rFonts w:asciiTheme="minorHAnsi" w:eastAsiaTheme="minorEastAsia" w:hAnsiTheme="minorHAnsi" w:cstheme="minorHAnsi"/>
                <w:szCs w:val="20"/>
                <w:lang w:val="sq-AL"/>
              </w:rPr>
              <w:t xml:space="preserve"> sektorin </w:t>
            </w:r>
            <w:r w:rsidR="009C4563">
              <w:rPr>
                <w:rFonts w:asciiTheme="minorHAnsi" w:eastAsiaTheme="minorEastAsia" w:hAnsiTheme="minorHAnsi" w:cstheme="minorHAnsi"/>
                <w:szCs w:val="20"/>
                <w:lang w:val="sq-AL"/>
              </w:rPr>
              <w:t>p</w:t>
            </w:r>
            <w:r w:rsidR="006822F7">
              <w:rPr>
                <w:rFonts w:asciiTheme="minorHAnsi" w:eastAsiaTheme="minorEastAsia" w:hAnsiTheme="minorHAnsi" w:cstheme="minorHAnsi"/>
                <w:szCs w:val="20"/>
                <w:lang w:val="sq-AL"/>
              </w:rPr>
              <w:t>ë</w:t>
            </w:r>
            <w:r w:rsidR="009C4563">
              <w:rPr>
                <w:rFonts w:asciiTheme="minorHAnsi" w:eastAsiaTheme="minorEastAsia" w:hAnsiTheme="minorHAnsi" w:cstheme="minorHAnsi"/>
                <w:szCs w:val="20"/>
                <w:lang w:val="sq-AL"/>
              </w:rPr>
              <w:t>r pilotin e promovimit t</w:t>
            </w:r>
            <w:r w:rsidR="006822F7">
              <w:rPr>
                <w:rFonts w:asciiTheme="minorHAnsi" w:eastAsiaTheme="minorEastAsia" w:hAnsiTheme="minorHAnsi" w:cstheme="minorHAnsi"/>
                <w:szCs w:val="20"/>
                <w:lang w:val="sq-AL"/>
              </w:rPr>
              <w:t>ë</w:t>
            </w:r>
            <w:r w:rsidR="009C4563">
              <w:rPr>
                <w:rFonts w:asciiTheme="minorHAnsi" w:eastAsiaTheme="minorEastAsia" w:hAnsiTheme="minorHAnsi" w:cstheme="minorHAnsi"/>
                <w:szCs w:val="20"/>
                <w:lang w:val="sq-AL"/>
              </w:rPr>
              <w:t xml:space="preserve"> </w:t>
            </w:r>
            <w:r w:rsidR="009C4563">
              <w:rPr>
                <w:rFonts w:asciiTheme="minorHAnsi" w:eastAsiaTheme="minorEastAsia" w:hAnsiTheme="minorHAnsi" w:cstheme="minorHAnsi"/>
                <w:szCs w:val="20"/>
                <w:lang w:val="sq-AL"/>
              </w:rPr>
              <w:lastRenderedPageBreak/>
              <w:t>investimeve rajonale</w:t>
            </w:r>
            <w:r w:rsidR="004D07F1" w:rsidRPr="009A66BD">
              <w:rPr>
                <w:rFonts w:asciiTheme="minorHAnsi" w:eastAsiaTheme="minorEastAsia" w:hAnsiTheme="minorHAnsi" w:cstheme="minorHAnsi"/>
                <w:szCs w:val="20"/>
                <w:lang w:val="sq-AL"/>
              </w:rPr>
              <w:t>.</w:t>
            </w:r>
          </w:p>
        </w:tc>
        <w:tc>
          <w:tcPr>
            <w:tcW w:w="1080" w:type="dxa"/>
          </w:tcPr>
          <w:p w14:paraId="719B119D" w14:textId="66136075" w:rsidR="004D07F1" w:rsidRPr="009A66BD" w:rsidRDefault="00045F5A"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Nuk është e nevojshme</w:t>
            </w:r>
          </w:p>
        </w:tc>
        <w:tc>
          <w:tcPr>
            <w:tcW w:w="4508" w:type="dxa"/>
          </w:tcPr>
          <w:p w14:paraId="64FF9BA9" w14:textId="77777777" w:rsidR="004D07F1" w:rsidRPr="009A66BD" w:rsidRDefault="004D07F1" w:rsidP="000E1E6F">
            <w:pPr>
              <w:spacing w:after="120" w:line="240" w:lineRule="auto"/>
              <w:ind w:firstLine="0"/>
              <w:jc w:val="left"/>
              <w:rPr>
                <w:rFonts w:asciiTheme="minorHAnsi" w:eastAsiaTheme="minorEastAsia" w:hAnsiTheme="minorHAnsi" w:cstheme="minorHAnsi"/>
                <w:szCs w:val="20"/>
                <w:lang w:val="sq-AL"/>
              </w:rPr>
            </w:pPr>
          </w:p>
        </w:tc>
      </w:tr>
      <w:tr w:rsidR="004D07F1" w:rsidRPr="009A66BD" w14:paraId="6347C042" w14:textId="77777777" w:rsidTr="00D43D3C">
        <w:trPr>
          <w:trHeight w:val="1015"/>
        </w:trPr>
        <w:tc>
          <w:tcPr>
            <w:tcW w:w="2335" w:type="dxa"/>
            <w:vMerge/>
          </w:tcPr>
          <w:p w14:paraId="4AF84D80" w14:textId="77777777" w:rsidR="004D07F1" w:rsidRPr="009A66BD" w:rsidRDefault="004D07F1" w:rsidP="000E1E6F">
            <w:pPr>
              <w:spacing w:after="120" w:line="240" w:lineRule="auto"/>
              <w:ind w:firstLine="0"/>
              <w:jc w:val="left"/>
              <w:rPr>
                <w:rFonts w:asciiTheme="minorHAnsi" w:eastAsiaTheme="minorHAnsi" w:hAnsiTheme="minorHAnsi" w:cstheme="minorHAnsi"/>
                <w:szCs w:val="20"/>
                <w:lang w:val="sq-AL"/>
              </w:rPr>
            </w:pPr>
          </w:p>
        </w:tc>
        <w:tc>
          <w:tcPr>
            <w:tcW w:w="2610" w:type="dxa"/>
          </w:tcPr>
          <w:p w14:paraId="32C2102D" w14:textId="542950FB" w:rsidR="004D07F1" w:rsidRPr="009A66BD" w:rsidRDefault="004D07F1" w:rsidP="009C456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5.4.3. </w:t>
            </w:r>
            <w:r w:rsidR="00FE2666" w:rsidRPr="00FE2666">
              <w:rPr>
                <w:rFonts w:asciiTheme="minorHAnsi" w:eastAsiaTheme="minorEastAsia" w:hAnsiTheme="minorHAnsi" w:cstheme="minorHAnsi"/>
                <w:szCs w:val="20"/>
                <w:lang w:val="sq-AL"/>
              </w:rPr>
              <w:t>Diskut</w:t>
            </w:r>
            <w:r w:rsidR="009C4563">
              <w:rPr>
                <w:rFonts w:asciiTheme="minorHAnsi" w:eastAsiaTheme="minorEastAsia" w:hAnsiTheme="minorHAnsi" w:cstheme="minorHAnsi"/>
                <w:szCs w:val="20"/>
                <w:lang w:val="sq-AL"/>
              </w:rPr>
              <w:t xml:space="preserve">imi </w:t>
            </w:r>
            <w:r w:rsidR="00FE2666" w:rsidRPr="00FE2666">
              <w:rPr>
                <w:rFonts w:asciiTheme="minorHAnsi" w:eastAsiaTheme="minorEastAsia" w:hAnsiTheme="minorHAnsi" w:cstheme="minorHAnsi"/>
                <w:szCs w:val="20"/>
                <w:lang w:val="sq-AL"/>
              </w:rPr>
              <w:t xml:space="preserve">dhe </w:t>
            </w:r>
            <w:proofErr w:type="spellStart"/>
            <w:r w:rsidR="00FE2666" w:rsidRPr="00FE2666">
              <w:rPr>
                <w:rFonts w:asciiTheme="minorHAnsi" w:eastAsiaTheme="minorEastAsia" w:hAnsiTheme="minorHAnsi" w:cstheme="minorHAnsi"/>
                <w:szCs w:val="20"/>
                <w:lang w:val="sq-AL"/>
              </w:rPr>
              <w:t>dakord</w:t>
            </w:r>
            <w:r w:rsidR="009C4563">
              <w:rPr>
                <w:rFonts w:asciiTheme="minorHAnsi" w:eastAsiaTheme="minorEastAsia" w:hAnsiTheme="minorHAnsi" w:cstheme="minorHAnsi"/>
                <w:szCs w:val="20"/>
                <w:lang w:val="sq-AL"/>
              </w:rPr>
              <w:t>imi</w:t>
            </w:r>
            <w:proofErr w:type="spellEnd"/>
            <w:r w:rsidR="009C4563">
              <w:rPr>
                <w:rFonts w:asciiTheme="minorHAnsi" w:eastAsiaTheme="minorEastAsia" w:hAnsiTheme="minorHAnsi" w:cstheme="minorHAnsi"/>
                <w:szCs w:val="20"/>
                <w:lang w:val="sq-AL"/>
              </w:rPr>
              <w:t xml:space="preserve"> </w:t>
            </w:r>
            <w:r w:rsidR="00FE2666" w:rsidRPr="00FE2666">
              <w:rPr>
                <w:rFonts w:asciiTheme="minorHAnsi" w:eastAsiaTheme="minorEastAsia" w:hAnsiTheme="minorHAnsi" w:cstheme="minorHAnsi"/>
                <w:szCs w:val="20"/>
                <w:lang w:val="sq-AL"/>
              </w:rPr>
              <w:t>mbi formatin (</w:t>
            </w:r>
            <w:r w:rsidR="00FE2666" w:rsidRPr="009C4563">
              <w:rPr>
                <w:rFonts w:asciiTheme="minorHAnsi" w:eastAsiaTheme="minorEastAsia" w:hAnsiTheme="minorHAnsi" w:cstheme="minorHAnsi"/>
                <w:szCs w:val="20"/>
                <w:lang w:val="sq-AL"/>
              </w:rPr>
              <w:t>p.sh. PPT, hartë dhe / ose  përmbledhje</w:t>
            </w:r>
            <w:r w:rsidR="009C4563" w:rsidRPr="009C4563">
              <w:rPr>
                <w:rFonts w:asciiTheme="minorHAnsi" w:eastAsiaTheme="minorEastAsia" w:hAnsiTheme="minorHAnsi" w:cstheme="minorHAnsi"/>
                <w:szCs w:val="20"/>
                <w:lang w:val="sq-AL"/>
              </w:rPr>
              <w:t xml:space="preserve"> e shkurt</w:t>
            </w:r>
            <w:r w:rsidR="006822F7">
              <w:rPr>
                <w:rFonts w:asciiTheme="minorHAnsi" w:eastAsiaTheme="minorEastAsia" w:hAnsiTheme="minorHAnsi" w:cstheme="minorHAnsi"/>
                <w:szCs w:val="20"/>
                <w:lang w:val="sq-AL"/>
              </w:rPr>
              <w:t>ë</w:t>
            </w:r>
            <w:r w:rsidR="009C4563" w:rsidRPr="009C4563">
              <w:rPr>
                <w:rFonts w:asciiTheme="minorHAnsi" w:eastAsiaTheme="minorEastAsia" w:hAnsiTheme="minorHAnsi" w:cstheme="minorHAnsi"/>
                <w:szCs w:val="20"/>
                <w:lang w:val="sq-AL"/>
              </w:rPr>
              <w:t>r e sektorit rajonal</w:t>
            </w:r>
            <w:r w:rsidR="00FE2666" w:rsidRPr="009C4563">
              <w:rPr>
                <w:rFonts w:asciiTheme="minorHAnsi" w:eastAsiaTheme="minorEastAsia" w:hAnsiTheme="minorHAnsi" w:cstheme="minorHAnsi"/>
                <w:szCs w:val="20"/>
                <w:lang w:val="sq-AL"/>
              </w:rPr>
              <w:t>...)</w:t>
            </w:r>
            <w:r w:rsidR="009C4563" w:rsidRPr="009C4563">
              <w:rPr>
                <w:rFonts w:asciiTheme="minorHAnsi" w:eastAsiaTheme="minorEastAsia" w:hAnsiTheme="minorHAnsi" w:cstheme="minorHAnsi"/>
                <w:szCs w:val="20"/>
                <w:lang w:val="sq-AL"/>
              </w:rPr>
              <w:t xml:space="preserve"> e propozicionit t</w:t>
            </w:r>
            <w:r w:rsidR="006822F7">
              <w:rPr>
                <w:rFonts w:asciiTheme="minorHAnsi" w:eastAsiaTheme="minorEastAsia" w:hAnsiTheme="minorHAnsi" w:cstheme="minorHAnsi"/>
                <w:szCs w:val="20"/>
                <w:lang w:val="sq-AL"/>
              </w:rPr>
              <w:t>ë</w:t>
            </w:r>
            <w:r w:rsidR="009C4563" w:rsidRPr="009C4563">
              <w:rPr>
                <w:rFonts w:asciiTheme="minorHAnsi" w:eastAsiaTheme="minorEastAsia" w:hAnsiTheme="minorHAnsi" w:cstheme="minorHAnsi"/>
                <w:szCs w:val="20"/>
                <w:lang w:val="sq-AL"/>
              </w:rPr>
              <w:t xml:space="preserve"> vler</w:t>
            </w:r>
            <w:r w:rsidR="006822F7">
              <w:rPr>
                <w:rFonts w:asciiTheme="minorHAnsi" w:eastAsiaTheme="minorEastAsia" w:hAnsiTheme="minorHAnsi" w:cstheme="minorHAnsi"/>
                <w:szCs w:val="20"/>
                <w:lang w:val="sq-AL"/>
              </w:rPr>
              <w:t>ë</w:t>
            </w:r>
            <w:r w:rsidR="009C4563" w:rsidRPr="009C4563">
              <w:rPr>
                <w:rFonts w:asciiTheme="minorHAnsi" w:eastAsiaTheme="minorEastAsia" w:hAnsiTheme="minorHAnsi" w:cstheme="minorHAnsi"/>
                <w:szCs w:val="20"/>
                <w:lang w:val="sq-AL"/>
              </w:rPr>
              <w:t xml:space="preserve">s </w:t>
            </w:r>
            <w:r w:rsidR="00FE2666" w:rsidRPr="009C4563">
              <w:rPr>
                <w:rFonts w:asciiTheme="minorHAnsi" w:eastAsiaTheme="minorEastAsia" w:hAnsiTheme="minorHAnsi" w:cstheme="minorHAnsi"/>
                <w:szCs w:val="20"/>
                <w:lang w:val="sq-AL"/>
              </w:rPr>
              <w:t xml:space="preserve">dhe të dhënave mbështetëse për sektorin e përzgjedhur </w:t>
            </w:r>
            <w:r w:rsidR="009C4563" w:rsidRPr="009C4563">
              <w:rPr>
                <w:rFonts w:asciiTheme="minorHAnsi" w:eastAsiaTheme="minorEastAsia" w:hAnsiTheme="minorHAnsi" w:cstheme="minorHAnsi"/>
                <w:szCs w:val="20"/>
                <w:lang w:val="sq-AL"/>
              </w:rPr>
              <w:t>pilotin e promovimit t</w:t>
            </w:r>
            <w:r w:rsidR="006822F7">
              <w:rPr>
                <w:rFonts w:asciiTheme="minorHAnsi" w:eastAsiaTheme="minorEastAsia" w:hAnsiTheme="minorHAnsi" w:cstheme="minorHAnsi"/>
                <w:szCs w:val="20"/>
                <w:lang w:val="sq-AL"/>
              </w:rPr>
              <w:t>ë</w:t>
            </w:r>
            <w:r w:rsidR="009C4563" w:rsidRPr="009C4563">
              <w:rPr>
                <w:rFonts w:asciiTheme="minorHAnsi" w:eastAsiaTheme="minorEastAsia" w:hAnsiTheme="minorHAnsi" w:cstheme="minorHAnsi"/>
                <w:szCs w:val="20"/>
                <w:lang w:val="sq-AL"/>
              </w:rPr>
              <w:t xml:space="preserve"> </w:t>
            </w:r>
            <w:r w:rsidR="00FE2666" w:rsidRPr="009C4563">
              <w:rPr>
                <w:rFonts w:asciiTheme="minorHAnsi" w:eastAsiaTheme="minorEastAsia" w:hAnsiTheme="minorHAnsi" w:cstheme="minorHAnsi"/>
                <w:szCs w:val="20"/>
                <w:lang w:val="sq-AL"/>
              </w:rPr>
              <w:t xml:space="preserve"> investimeve rajonale përmes platformës </w:t>
            </w:r>
            <w:r w:rsidR="009C4563" w:rsidRPr="009C4563">
              <w:rPr>
                <w:rFonts w:asciiTheme="minorHAnsi" w:eastAsiaTheme="minorEastAsia" w:hAnsiTheme="minorHAnsi" w:cstheme="minorHAnsi"/>
                <w:szCs w:val="20"/>
                <w:lang w:val="sq-AL"/>
              </w:rPr>
              <w:t>s</w:t>
            </w:r>
            <w:r w:rsidR="006822F7">
              <w:rPr>
                <w:rFonts w:asciiTheme="minorHAnsi" w:eastAsiaTheme="minorEastAsia" w:hAnsiTheme="minorHAnsi" w:cstheme="minorHAnsi"/>
                <w:szCs w:val="20"/>
                <w:lang w:val="sq-AL"/>
              </w:rPr>
              <w:t>ë</w:t>
            </w:r>
            <w:r w:rsidR="009C4563" w:rsidRPr="009C4563">
              <w:rPr>
                <w:rFonts w:asciiTheme="minorHAnsi" w:eastAsiaTheme="minorEastAsia" w:hAnsiTheme="minorHAnsi" w:cstheme="minorHAnsi"/>
                <w:szCs w:val="20"/>
                <w:lang w:val="sq-AL"/>
              </w:rPr>
              <w:t xml:space="preserve"> </w:t>
            </w:r>
            <w:proofErr w:type="spellStart"/>
            <w:r w:rsidR="00FE2666" w:rsidRPr="009C4563">
              <w:rPr>
                <w:rFonts w:asciiTheme="minorHAnsi" w:eastAsiaTheme="minorEastAsia" w:hAnsiTheme="minorHAnsi" w:cstheme="minorHAnsi"/>
                <w:szCs w:val="20"/>
                <w:lang w:val="sq-AL"/>
              </w:rPr>
              <w:t>formalizuar</w:t>
            </w:r>
            <w:proofErr w:type="spellEnd"/>
            <w:r w:rsidR="00FE2666" w:rsidRPr="009C4563">
              <w:rPr>
                <w:rFonts w:asciiTheme="minorHAnsi" w:eastAsiaTheme="minorEastAsia" w:hAnsiTheme="minorHAnsi" w:cstheme="minorHAnsi"/>
                <w:szCs w:val="20"/>
                <w:lang w:val="sq-AL"/>
              </w:rPr>
              <w:t xml:space="preserve"> sipas pikës 5.1</w:t>
            </w:r>
            <w:r w:rsidRPr="009C4563">
              <w:rPr>
                <w:rFonts w:asciiTheme="minorHAnsi" w:eastAsiaTheme="minorEastAsia" w:hAnsiTheme="minorHAnsi" w:cstheme="minorHAnsi"/>
                <w:szCs w:val="20"/>
                <w:lang w:val="sq-AL"/>
              </w:rPr>
              <w:t>.</w:t>
            </w:r>
          </w:p>
        </w:tc>
        <w:tc>
          <w:tcPr>
            <w:tcW w:w="900" w:type="dxa"/>
          </w:tcPr>
          <w:p w14:paraId="59F35EAB" w14:textId="054913AE" w:rsidR="004D07F1" w:rsidRPr="009A66BD" w:rsidRDefault="0066150C"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Shtator</w:t>
            </w:r>
            <w:r w:rsidR="004D07F1" w:rsidRPr="009A66BD">
              <w:rPr>
                <w:rFonts w:asciiTheme="minorHAnsi" w:eastAsiaTheme="minorEastAsia" w:hAnsiTheme="minorHAnsi" w:cstheme="minorHAnsi"/>
                <w:szCs w:val="20"/>
                <w:lang w:val="sq-AL"/>
              </w:rPr>
              <w:t xml:space="preserve"> 2019</w:t>
            </w:r>
          </w:p>
        </w:tc>
        <w:tc>
          <w:tcPr>
            <w:tcW w:w="1260" w:type="dxa"/>
          </w:tcPr>
          <w:p w14:paraId="6883BB88" w14:textId="6C5FA5BE" w:rsidR="004D07F1" w:rsidRPr="009A66BD" w:rsidRDefault="005B2877"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20BE4273" w14:textId="43881E0E" w:rsidR="004D07F1" w:rsidRPr="009A66BD" w:rsidRDefault="002B3A88" w:rsidP="00BF7B24">
            <w:pPr>
              <w:spacing w:after="120" w:line="240" w:lineRule="auto"/>
              <w:ind w:firstLine="0"/>
              <w:jc w:val="left"/>
              <w:rPr>
                <w:rFonts w:asciiTheme="minorHAnsi" w:eastAsiaTheme="minorEastAsia" w:hAnsiTheme="minorHAnsi" w:cstheme="minorHAnsi"/>
                <w:szCs w:val="20"/>
                <w:lang w:val="sq-AL"/>
              </w:rPr>
            </w:pPr>
            <w:r w:rsidRPr="002B3A88">
              <w:rPr>
                <w:rFonts w:asciiTheme="minorHAnsi" w:eastAsiaTheme="minorEastAsia" w:hAnsiTheme="minorHAnsi" w:cstheme="minorHAnsi"/>
                <w:szCs w:val="20"/>
                <w:lang w:val="sq-AL"/>
              </w:rPr>
              <w:t>Marrëveshja përfundimtare dhe përzgjedhja e formatit /ve për zhvillimin e propozi</w:t>
            </w:r>
            <w:r w:rsidR="00BF7B24">
              <w:rPr>
                <w:rFonts w:asciiTheme="minorHAnsi" w:eastAsiaTheme="minorEastAsia" w:hAnsiTheme="minorHAnsi" w:cstheme="minorHAnsi"/>
                <w:szCs w:val="20"/>
                <w:lang w:val="sq-AL"/>
              </w:rPr>
              <w:t xml:space="preserve">cionit </w:t>
            </w:r>
            <w:r w:rsidRPr="002B3A88">
              <w:rPr>
                <w:rFonts w:asciiTheme="minorHAnsi" w:eastAsiaTheme="minorEastAsia" w:hAnsiTheme="minorHAnsi" w:cstheme="minorHAnsi"/>
                <w:szCs w:val="20"/>
                <w:lang w:val="sq-AL"/>
              </w:rPr>
              <w:t xml:space="preserve">të vlerës dhe materialeve </w:t>
            </w:r>
            <w:proofErr w:type="spellStart"/>
            <w:r w:rsidRPr="002B3A88">
              <w:rPr>
                <w:rFonts w:asciiTheme="minorHAnsi" w:eastAsiaTheme="minorEastAsia" w:hAnsiTheme="minorHAnsi" w:cstheme="minorHAnsi"/>
                <w:szCs w:val="20"/>
                <w:lang w:val="sq-AL"/>
              </w:rPr>
              <w:t>promovuese</w:t>
            </w:r>
            <w:proofErr w:type="spellEnd"/>
            <w:r w:rsidRPr="002B3A88">
              <w:rPr>
                <w:rFonts w:asciiTheme="minorHAnsi" w:eastAsiaTheme="minorEastAsia" w:hAnsiTheme="minorHAnsi" w:cstheme="minorHAnsi"/>
                <w:szCs w:val="20"/>
                <w:lang w:val="sq-AL"/>
              </w:rPr>
              <w:t>, si dhe përmbajtjes për sektorin e përzgjedhur për pilot</w:t>
            </w:r>
            <w:r w:rsidR="00BF7B24">
              <w:rPr>
                <w:rFonts w:asciiTheme="minorHAnsi" w:eastAsiaTheme="minorEastAsia" w:hAnsiTheme="minorHAnsi" w:cstheme="minorHAnsi"/>
                <w:szCs w:val="20"/>
                <w:lang w:val="sq-AL"/>
              </w:rPr>
              <w:t>in e promovimit r</w:t>
            </w:r>
            <w:r w:rsidRPr="002B3A88">
              <w:rPr>
                <w:rFonts w:asciiTheme="minorHAnsi" w:eastAsiaTheme="minorEastAsia" w:hAnsiTheme="minorHAnsi" w:cstheme="minorHAnsi"/>
                <w:szCs w:val="20"/>
                <w:lang w:val="sq-AL"/>
              </w:rPr>
              <w:t>ajonal</w:t>
            </w:r>
            <w:r w:rsidR="004D07F1" w:rsidRPr="009A66BD">
              <w:rPr>
                <w:rFonts w:asciiTheme="minorHAnsi" w:eastAsiaTheme="minorEastAsia" w:hAnsiTheme="minorHAnsi" w:cstheme="minorHAnsi"/>
                <w:szCs w:val="20"/>
                <w:lang w:val="sq-AL"/>
              </w:rPr>
              <w:t>.</w:t>
            </w:r>
          </w:p>
        </w:tc>
        <w:tc>
          <w:tcPr>
            <w:tcW w:w="1080" w:type="dxa"/>
          </w:tcPr>
          <w:p w14:paraId="7A1B7852" w14:textId="0FF04027" w:rsidR="004D07F1" w:rsidRPr="009A66BD" w:rsidRDefault="00045F5A" w:rsidP="000E1E6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Nuk është e nevojshme</w:t>
            </w:r>
          </w:p>
        </w:tc>
        <w:tc>
          <w:tcPr>
            <w:tcW w:w="4508" w:type="dxa"/>
          </w:tcPr>
          <w:p w14:paraId="0AE3E152" w14:textId="77777777" w:rsidR="004D07F1" w:rsidRPr="009A66BD" w:rsidRDefault="004D07F1" w:rsidP="000E1E6F">
            <w:pPr>
              <w:spacing w:after="120" w:line="240" w:lineRule="auto"/>
              <w:ind w:firstLine="0"/>
              <w:jc w:val="left"/>
              <w:rPr>
                <w:rFonts w:asciiTheme="minorHAnsi" w:eastAsiaTheme="minorEastAsia" w:hAnsiTheme="minorHAnsi" w:cstheme="minorHAnsi"/>
                <w:szCs w:val="20"/>
                <w:lang w:val="sq-AL"/>
              </w:rPr>
            </w:pPr>
          </w:p>
        </w:tc>
      </w:tr>
      <w:tr w:rsidR="004D07F1" w:rsidRPr="00612497" w14:paraId="3CB56142"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3CE7C5CD" w14:textId="77777777" w:rsidR="004D07F1" w:rsidRPr="009A66BD" w:rsidRDefault="004D07F1" w:rsidP="002A3EF4">
            <w:pPr>
              <w:spacing w:after="120" w:line="240" w:lineRule="auto"/>
              <w:ind w:firstLine="0"/>
              <w:jc w:val="left"/>
              <w:rPr>
                <w:rFonts w:asciiTheme="minorHAnsi" w:eastAsiaTheme="minorHAnsi" w:hAnsiTheme="minorHAnsi" w:cstheme="minorHAnsi"/>
                <w:szCs w:val="20"/>
                <w:lang w:val="sq-AL"/>
              </w:rPr>
            </w:pPr>
          </w:p>
        </w:tc>
        <w:tc>
          <w:tcPr>
            <w:tcW w:w="2610" w:type="dxa"/>
          </w:tcPr>
          <w:p w14:paraId="229C16BA" w14:textId="401F30BF" w:rsidR="004D07F1" w:rsidRPr="009A66BD" w:rsidRDefault="004D07F1" w:rsidP="00277C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5.4.4. </w:t>
            </w:r>
            <w:r w:rsidR="000C6F91" w:rsidRPr="000C6F91">
              <w:rPr>
                <w:rFonts w:asciiTheme="minorHAnsi" w:eastAsiaTheme="minorEastAsia" w:hAnsiTheme="minorHAnsi" w:cstheme="minorHAnsi"/>
                <w:szCs w:val="20"/>
                <w:lang w:val="sq-AL"/>
              </w:rPr>
              <w:t>Mbështetja e krijimit të një sistemi bazë M &amp; V për pilot</w:t>
            </w:r>
            <w:r w:rsidR="00277CEF">
              <w:rPr>
                <w:rFonts w:asciiTheme="minorHAnsi" w:eastAsiaTheme="minorEastAsia" w:hAnsiTheme="minorHAnsi" w:cstheme="minorHAnsi"/>
                <w:szCs w:val="20"/>
                <w:lang w:val="sq-AL"/>
              </w:rPr>
              <w:t>in e promovimit t</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 xml:space="preserve"> </w:t>
            </w:r>
            <w:r w:rsidR="000C6F91" w:rsidRPr="000C6F91">
              <w:rPr>
                <w:rFonts w:asciiTheme="minorHAnsi" w:eastAsiaTheme="minorEastAsia" w:hAnsiTheme="minorHAnsi" w:cstheme="minorHAnsi"/>
                <w:szCs w:val="20"/>
                <w:lang w:val="sq-AL"/>
              </w:rPr>
              <w:t>investimeve</w:t>
            </w:r>
            <w:r w:rsidR="00277CEF">
              <w:rPr>
                <w:rFonts w:asciiTheme="minorHAnsi" w:eastAsiaTheme="minorEastAsia" w:hAnsiTheme="minorHAnsi" w:cstheme="minorHAnsi"/>
                <w:szCs w:val="20"/>
                <w:lang w:val="sq-AL"/>
              </w:rPr>
              <w:t xml:space="preserve"> rajonale</w:t>
            </w:r>
          </w:p>
        </w:tc>
        <w:tc>
          <w:tcPr>
            <w:tcW w:w="900" w:type="dxa"/>
          </w:tcPr>
          <w:p w14:paraId="59209B76" w14:textId="7F5012E2" w:rsidR="004D07F1" w:rsidRPr="009A66BD" w:rsidRDefault="0066150C" w:rsidP="002A3EF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Shtator </w:t>
            </w:r>
            <w:r w:rsidR="004D07F1" w:rsidRPr="009A66BD">
              <w:rPr>
                <w:rFonts w:asciiTheme="minorHAnsi" w:eastAsiaTheme="minorEastAsia" w:hAnsiTheme="minorHAnsi" w:cstheme="minorHAnsi"/>
                <w:szCs w:val="20"/>
                <w:lang w:val="sq-AL"/>
              </w:rPr>
              <w:t>2019</w:t>
            </w:r>
          </w:p>
        </w:tc>
        <w:tc>
          <w:tcPr>
            <w:tcW w:w="1260" w:type="dxa"/>
          </w:tcPr>
          <w:p w14:paraId="52F8D90E" w14:textId="6B9977C5" w:rsidR="004D07F1" w:rsidRPr="009A66BD" w:rsidRDefault="005B2877" w:rsidP="002A3EF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2FABCA19" w14:textId="2755D9A0" w:rsidR="004D07F1" w:rsidRPr="009A66BD" w:rsidRDefault="00B37E16" w:rsidP="002A3EF4">
            <w:pPr>
              <w:spacing w:after="120" w:line="240" w:lineRule="auto"/>
              <w:ind w:firstLine="0"/>
              <w:jc w:val="left"/>
              <w:rPr>
                <w:rFonts w:asciiTheme="minorHAnsi" w:eastAsiaTheme="minorEastAsia" w:hAnsiTheme="minorHAnsi" w:cstheme="minorHAnsi"/>
                <w:szCs w:val="20"/>
                <w:lang w:val="sq-AL"/>
              </w:rPr>
            </w:pPr>
            <w:r w:rsidRPr="00B37E16">
              <w:rPr>
                <w:rFonts w:asciiTheme="minorHAnsi" w:eastAsiaTheme="minorEastAsia" w:hAnsiTheme="minorHAnsi" w:cstheme="minorHAnsi"/>
                <w:szCs w:val="20"/>
                <w:lang w:val="sq-AL"/>
              </w:rPr>
              <w:t>Krijimi i sistemit të M &amp; E bazë dhe të thjeshtë (d.m.th. numri i klikimeve në internet, numri i pyetjeve ...).</w:t>
            </w:r>
          </w:p>
        </w:tc>
        <w:tc>
          <w:tcPr>
            <w:tcW w:w="1080" w:type="dxa"/>
          </w:tcPr>
          <w:p w14:paraId="6C74FD04" w14:textId="3B331637" w:rsidR="004D07F1" w:rsidRPr="009A66BD" w:rsidRDefault="00D23D07" w:rsidP="002A3EF4">
            <w:pPr>
              <w:spacing w:after="120" w:line="240" w:lineRule="auto"/>
              <w:ind w:firstLine="0"/>
              <w:jc w:val="left"/>
              <w:rPr>
                <w:rFonts w:asciiTheme="minorHAnsi" w:eastAsiaTheme="minorEastAsia" w:hAnsiTheme="minorHAnsi" w:cstheme="minorHAnsi"/>
                <w:szCs w:val="20"/>
                <w:lang w:val="sq-AL"/>
              </w:rPr>
            </w:pPr>
            <w:r w:rsidRPr="009A66BD">
              <w:rPr>
                <w:rFonts w:asciiTheme="minorHAnsi" w:hAnsiTheme="minorHAnsi" w:cstheme="minorHAnsi"/>
                <w:sz w:val="18"/>
                <w:lang w:val="sq-AL"/>
              </w:rPr>
              <w:t>KBR</w:t>
            </w:r>
            <w:r w:rsidR="004D07F1" w:rsidRPr="009A66BD">
              <w:rPr>
                <w:rFonts w:asciiTheme="minorHAnsi" w:eastAsiaTheme="minorEastAsia" w:hAnsiTheme="minorHAnsi" w:cstheme="minorBidi"/>
                <w:szCs w:val="20"/>
                <w:lang w:val="sq-AL"/>
              </w:rPr>
              <w:t xml:space="preserve"> /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5F1B7DC9" w14:textId="19EF24EC" w:rsidR="004D07F1" w:rsidRPr="009A66BD" w:rsidRDefault="006F1108" w:rsidP="002A3EF4">
            <w:pPr>
              <w:spacing w:after="120" w:line="240" w:lineRule="auto"/>
              <w:ind w:firstLine="0"/>
              <w:jc w:val="left"/>
              <w:rPr>
                <w:rFonts w:asciiTheme="minorHAnsi" w:eastAsiaTheme="minorEastAsia" w:hAnsiTheme="minorHAnsi" w:cstheme="minorHAnsi"/>
                <w:szCs w:val="20"/>
                <w:lang w:val="sq-AL"/>
              </w:rPr>
            </w:pPr>
            <w:r w:rsidRPr="006F1108">
              <w:rPr>
                <w:rFonts w:asciiTheme="minorHAnsi" w:eastAsiaTheme="minorEastAsia" w:hAnsiTheme="minorHAnsi" w:cstheme="minorHAnsi"/>
                <w:i/>
                <w:szCs w:val="20"/>
                <w:lang w:val="sq-AL"/>
              </w:rPr>
              <w:t>Dialogu rajonal do të mbajë rezultatet periodike të M &amp; V, megjithatë vlerësimet aktuale mund të kryhen edhe nga një palë e jashtme.</w:t>
            </w:r>
          </w:p>
        </w:tc>
      </w:tr>
      <w:tr w:rsidR="004D07F1" w:rsidRPr="009A66BD" w14:paraId="4D218136" w14:textId="77777777" w:rsidTr="00D43D3C">
        <w:trPr>
          <w:trHeight w:val="1015"/>
        </w:trPr>
        <w:tc>
          <w:tcPr>
            <w:tcW w:w="2335" w:type="dxa"/>
            <w:vMerge/>
          </w:tcPr>
          <w:p w14:paraId="0D43C168" w14:textId="77777777" w:rsidR="004D07F1" w:rsidRPr="009A66BD" w:rsidRDefault="004D07F1" w:rsidP="002A3EF4">
            <w:pPr>
              <w:spacing w:after="120" w:line="240" w:lineRule="auto"/>
              <w:ind w:firstLine="0"/>
              <w:jc w:val="left"/>
              <w:rPr>
                <w:rFonts w:asciiTheme="minorHAnsi" w:eastAsiaTheme="minorHAnsi" w:hAnsiTheme="minorHAnsi" w:cstheme="minorHAnsi"/>
                <w:szCs w:val="20"/>
                <w:lang w:val="sq-AL"/>
              </w:rPr>
            </w:pPr>
          </w:p>
        </w:tc>
        <w:tc>
          <w:tcPr>
            <w:tcW w:w="2610" w:type="dxa"/>
          </w:tcPr>
          <w:p w14:paraId="7B5F594B" w14:textId="45F134A4" w:rsidR="004D07F1" w:rsidRPr="009A66BD" w:rsidRDefault="004D07F1" w:rsidP="00277C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5.4.5. </w:t>
            </w:r>
            <w:r w:rsidR="0068597E" w:rsidRPr="0068597E">
              <w:rPr>
                <w:rFonts w:asciiTheme="minorHAnsi" w:eastAsiaTheme="minorEastAsia" w:hAnsiTheme="minorHAnsi" w:cstheme="minorHAnsi"/>
                <w:szCs w:val="20"/>
                <w:lang w:val="sq-AL"/>
              </w:rPr>
              <w:t>Vlerësimi i rezultateve të pilot</w:t>
            </w:r>
            <w:r w:rsidR="00277CEF">
              <w:rPr>
                <w:rFonts w:asciiTheme="minorHAnsi" w:eastAsiaTheme="minorEastAsia" w:hAnsiTheme="minorHAnsi" w:cstheme="minorHAnsi"/>
                <w:szCs w:val="20"/>
                <w:lang w:val="sq-AL"/>
              </w:rPr>
              <w:t>it t</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 xml:space="preserve"> p</w:t>
            </w:r>
            <w:r w:rsidR="0068597E" w:rsidRPr="0068597E">
              <w:rPr>
                <w:rFonts w:asciiTheme="minorHAnsi" w:eastAsiaTheme="minorEastAsia" w:hAnsiTheme="minorHAnsi" w:cstheme="minorHAnsi"/>
                <w:szCs w:val="20"/>
                <w:lang w:val="sq-AL"/>
              </w:rPr>
              <w:t>romovimit të investimeve rajonale dhe vendimi nëse do të zgjero</w:t>
            </w:r>
            <w:r w:rsidR="00277CEF">
              <w:rPr>
                <w:rFonts w:asciiTheme="minorHAnsi" w:eastAsiaTheme="minorEastAsia" w:hAnsiTheme="minorHAnsi" w:cstheme="minorHAnsi"/>
                <w:szCs w:val="20"/>
                <w:lang w:val="sq-AL"/>
              </w:rPr>
              <w:t>het piloti p</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r t</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 xml:space="preserve"> p</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rfshir</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 xml:space="preserve"> sektor</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 xml:space="preserve"> </w:t>
            </w:r>
            <w:r w:rsidR="0068597E" w:rsidRPr="0068597E">
              <w:rPr>
                <w:rFonts w:asciiTheme="minorHAnsi" w:eastAsiaTheme="minorEastAsia" w:hAnsiTheme="minorHAnsi" w:cstheme="minorHAnsi"/>
                <w:szCs w:val="20"/>
                <w:lang w:val="sq-AL"/>
              </w:rPr>
              <w:t>tjerë.</w:t>
            </w:r>
          </w:p>
        </w:tc>
        <w:tc>
          <w:tcPr>
            <w:tcW w:w="900" w:type="dxa"/>
          </w:tcPr>
          <w:p w14:paraId="13F17A06" w14:textId="70721322" w:rsidR="004D07F1" w:rsidRPr="009A66BD" w:rsidRDefault="0066150C" w:rsidP="002A3EF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Shtator </w:t>
            </w:r>
            <w:r w:rsidR="004D07F1" w:rsidRPr="009A66BD">
              <w:rPr>
                <w:rFonts w:asciiTheme="minorHAnsi" w:eastAsiaTheme="minorEastAsia" w:hAnsiTheme="minorHAnsi" w:cstheme="minorHAnsi"/>
                <w:szCs w:val="20"/>
                <w:lang w:val="sq-AL"/>
              </w:rPr>
              <w:t>2020</w:t>
            </w:r>
          </w:p>
        </w:tc>
        <w:tc>
          <w:tcPr>
            <w:tcW w:w="1260" w:type="dxa"/>
          </w:tcPr>
          <w:p w14:paraId="31E301AF" w14:textId="57CB98BC" w:rsidR="004D07F1" w:rsidRPr="009A66BD" w:rsidRDefault="005B2877" w:rsidP="002A3EF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6CC477AE" w14:textId="4D39839B" w:rsidR="004D07F1" w:rsidRPr="009A66BD" w:rsidRDefault="00EB494B" w:rsidP="00277CEF">
            <w:pPr>
              <w:spacing w:after="120" w:line="240" w:lineRule="auto"/>
              <w:ind w:firstLine="0"/>
              <w:jc w:val="left"/>
              <w:rPr>
                <w:rFonts w:asciiTheme="minorHAnsi" w:eastAsiaTheme="minorEastAsia" w:hAnsiTheme="minorHAnsi" w:cstheme="minorHAnsi"/>
                <w:szCs w:val="20"/>
                <w:lang w:val="sq-AL"/>
              </w:rPr>
            </w:pPr>
            <w:r w:rsidRPr="00EB494B">
              <w:rPr>
                <w:rFonts w:asciiTheme="minorHAnsi" w:eastAsiaTheme="minorEastAsia" w:hAnsiTheme="minorHAnsi" w:cstheme="minorHAnsi"/>
                <w:szCs w:val="20"/>
                <w:lang w:val="sq-AL"/>
              </w:rPr>
              <w:t>Vendimi për vazhdimin, zgjerimin ose përfundimin e pilot</w:t>
            </w:r>
            <w:r w:rsidR="00277CEF">
              <w:rPr>
                <w:rFonts w:asciiTheme="minorHAnsi" w:eastAsiaTheme="minorEastAsia" w:hAnsiTheme="minorHAnsi" w:cstheme="minorHAnsi"/>
                <w:szCs w:val="20"/>
                <w:lang w:val="sq-AL"/>
              </w:rPr>
              <w:t>it t</w:t>
            </w:r>
            <w:r w:rsidR="006822F7">
              <w:rPr>
                <w:rFonts w:asciiTheme="minorHAnsi" w:eastAsiaTheme="minorEastAsia" w:hAnsiTheme="minorHAnsi" w:cstheme="minorHAnsi"/>
                <w:szCs w:val="20"/>
                <w:lang w:val="sq-AL"/>
              </w:rPr>
              <w:t>ë</w:t>
            </w:r>
            <w:r w:rsidR="00277CEF">
              <w:rPr>
                <w:rFonts w:asciiTheme="minorHAnsi" w:eastAsiaTheme="minorEastAsia" w:hAnsiTheme="minorHAnsi" w:cstheme="minorHAnsi"/>
                <w:szCs w:val="20"/>
                <w:lang w:val="sq-AL"/>
              </w:rPr>
              <w:t xml:space="preserve"> p</w:t>
            </w:r>
            <w:r w:rsidRPr="00EB494B">
              <w:rPr>
                <w:rFonts w:asciiTheme="minorHAnsi" w:eastAsiaTheme="minorEastAsia" w:hAnsiTheme="minorHAnsi" w:cstheme="minorHAnsi"/>
                <w:szCs w:val="20"/>
                <w:lang w:val="sq-AL"/>
              </w:rPr>
              <w:t>romovimit të investimeve rajonale.</w:t>
            </w:r>
          </w:p>
        </w:tc>
        <w:tc>
          <w:tcPr>
            <w:tcW w:w="1080" w:type="dxa"/>
          </w:tcPr>
          <w:p w14:paraId="483037A3" w14:textId="57B36497" w:rsidR="004D07F1" w:rsidRPr="009A66BD" w:rsidRDefault="00045F5A" w:rsidP="002A3EF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Bidi"/>
                <w:szCs w:val="20"/>
                <w:lang w:val="sq-AL"/>
              </w:rPr>
              <w:t>Nuk është e nevojshme</w:t>
            </w:r>
          </w:p>
        </w:tc>
        <w:tc>
          <w:tcPr>
            <w:tcW w:w="4508" w:type="dxa"/>
          </w:tcPr>
          <w:p w14:paraId="7CD33191" w14:textId="77777777" w:rsidR="004D07F1" w:rsidRPr="009A66BD" w:rsidRDefault="004D07F1" w:rsidP="002A3EF4">
            <w:pPr>
              <w:spacing w:after="120" w:line="240" w:lineRule="auto"/>
              <w:ind w:firstLine="0"/>
              <w:jc w:val="left"/>
              <w:rPr>
                <w:rFonts w:asciiTheme="minorHAnsi" w:eastAsiaTheme="minorEastAsia" w:hAnsiTheme="minorHAnsi" w:cstheme="minorHAnsi"/>
                <w:szCs w:val="20"/>
                <w:lang w:val="sq-AL"/>
              </w:rPr>
            </w:pPr>
          </w:p>
        </w:tc>
      </w:tr>
      <w:tr w:rsidR="006D0E53" w:rsidRPr="009A66BD" w14:paraId="00671786" w14:textId="77777777" w:rsidTr="3A25C5E1">
        <w:trPr>
          <w:cnfStyle w:val="000000100000" w:firstRow="0" w:lastRow="0" w:firstColumn="0" w:lastColumn="0" w:oddVBand="0" w:evenVBand="0" w:oddHBand="1" w:evenHBand="0" w:firstRowFirstColumn="0" w:firstRowLastColumn="0" w:lastRowFirstColumn="0" w:lastRowLastColumn="0"/>
          <w:trHeight w:val="334"/>
        </w:trPr>
        <w:tc>
          <w:tcPr>
            <w:tcW w:w="14673" w:type="dxa"/>
            <w:gridSpan w:val="7"/>
          </w:tcPr>
          <w:p w14:paraId="52A78A07" w14:textId="35FD7CD6" w:rsidR="006D0E53" w:rsidRPr="009A66BD" w:rsidRDefault="006D0E53" w:rsidP="00277C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i/>
                <w:iCs/>
                <w:color w:val="000000" w:themeColor="text1"/>
                <w:szCs w:val="20"/>
                <w:lang w:val="sq-AL"/>
              </w:rPr>
              <w:lastRenderedPageBreak/>
              <w:t xml:space="preserve">6. </w:t>
            </w:r>
            <w:r w:rsidR="0061365E" w:rsidRPr="0061365E">
              <w:rPr>
                <w:rFonts w:asciiTheme="minorHAnsi" w:eastAsiaTheme="minorEastAsia" w:hAnsiTheme="minorHAnsi" w:cstheme="minorHAnsi"/>
                <w:i/>
                <w:iCs/>
                <w:color w:val="000000" w:themeColor="text1"/>
                <w:szCs w:val="20"/>
                <w:lang w:val="sq-AL"/>
              </w:rPr>
              <w:t>Riorganizimi</w:t>
            </w:r>
            <w:r w:rsidR="00277CEF">
              <w:rPr>
                <w:rFonts w:asciiTheme="minorHAnsi" w:eastAsiaTheme="minorEastAsia" w:hAnsiTheme="minorHAnsi" w:cstheme="minorHAnsi"/>
                <w:i/>
                <w:iCs/>
                <w:color w:val="000000" w:themeColor="text1"/>
                <w:szCs w:val="20"/>
                <w:lang w:val="sq-AL"/>
              </w:rPr>
              <w:t xml:space="preserve">/racionalizimi i </w:t>
            </w:r>
            <w:proofErr w:type="spellStart"/>
            <w:r w:rsidR="00277CEF">
              <w:rPr>
                <w:rFonts w:asciiTheme="minorHAnsi" w:eastAsiaTheme="minorEastAsia" w:hAnsiTheme="minorHAnsi" w:cstheme="minorHAnsi"/>
                <w:i/>
                <w:iCs/>
                <w:color w:val="000000" w:themeColor="text1"/>
                <w:szCs w:val="20"/>
                <w:lang w:val="sq-AL"/>
              </w:rPr>
              <w:t>incentivave</w:t>
            </w:r>
            <w:proofErr w:type="spellEnd"/>
            <w:r w:rsidR="00277CEF">
              <w:rPr>
                <w:rFonts w:asciiTheme="minorHAnsi" w:eastAsiaTheme="minorEastAsia" w:hAnsiTheme="minorHAnsi" w:cstheme="minorHAnsi"/>
                <w:i/>
                <w:iCs/>
                <w:color w:val="000000" w:themeColor="text1"/>
                <w:szCs w:val="20"/>
                <w:lang w:val="sq-AL"/>
              </w:rPr>
              <w:t xml:space="preserve">/stimujve </w:t>
            </w:r>
            <w:r w:rsidR="0061365E" w:rsidRPr="0061365E">
              <w:rPr>
                <w:rFonts w:asciiTheme="minorHAnsi" w:eastAsiaTheme="minorEastAsia" w:hAnsiTheme="minorHAnsi" w:cstheme="minorHAnsi"/>
                <w:i/>
                <w:iCs/>
                <w:color w:val="000000" w:themeColor="text1"/>
                <w:szCs w:val="20"/>
                <w:lang w:val="sq-AL"/>
              </w:rPr>
              <w:t xml:space="preserve"> dhe përmirësimi i transparencës dhe qeverisjes së tyre</w:t>
            </w:r>
          </w:p>
        </w:tc>
      </w:tr>
      <w:tr w:rsidR="006D0E53" w:rsidRPr="00612497" w14:paraId="2DA34F05" w14:textId="77777777" w:rsidTr="00D43D3C">
        <w:trPr>
          <w:trHeight w:val="1015"/>
        </w:trPr>
        <w:tc>
          <w:tcPr>
            <w:tcW w:w="2335" w:type="dxa"/>
            <w:vMerge w:val="restart"/>
          </w:tcPr>
          <w:p w14:paraId="0DFE0F27" w14:textId="5E8AFCFC" w:rsidR="006D0E53" w:rsidRPr="009A66BD" w:rsidRDefault="006D0E53" w:rsidP="00E540D4">
            <w:pPr>
              <w:spacing w:after="120" w:line="240" w:lineRule="auto"/>
              <w:ind w:left="520"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i/>
                <w:iCs/>
                <w:szCs w:val="20"/>
                <w:lang w:val="sq-AL"/>
              </w:rPr>
              <w:t>6.</w:t>
            </w:r>
            <w:r w:rsidRPr="009A66BD">
              <w:rPr>
                <w:rFonts w:asciiTheme="majorHAnsi" w:eastAsiaTheme="minorEastAsia" w:hAnsiTheme="majorHAnsi" w:cstheme="majorHAnsi"/>
                <w:i/>
                <w:iCs/>
                <w:szCs w:val="20"/>
                <w:lang w:val="sq-AL"/>
              </w:rPr>
              <w:t xml:space="preserve">1 </w:t>
            </w:r>
            <w:r w:rsidR="001A4CC6" w:rsidRPr="001A4CC6">
              <w:rPr>
                <w:rFonts w:asciiTheme="majorHAnsi" w:eastAsiaTheme="minorEastAsia" w:hAnsiTheme="majorHAnsi" w:cstheme="majorHAnsi"/>
                <w:i/>
                <w:iCs/>
                <w:szCs w:val="20"/>
                <w:lang w:val="sq-AL"/>
              </w:rPr>
              <w:t xml:space="preserve">Zbatimi i standardeve dhe parimeve të </w:t>
            </w:r>
            <w:proofErr w:type="spellStart"/>
            <w:r w:rsidR="00892D66">
              <w:rPr>
                <w:rFonts w:asciiTheme="majorHAnsi" w:eastAsiaTheme="minorEastAsia" w:hAnsiTheme="majorHAnsi" w:cstheme="majorHAnsi"/>
                <w:i/>
                <w:iCs/>
                <w:szCs w:val="20"/>
                <w:lang w:val="sq-AL"/>
              </w:rPr>
              <w:t>incentivave</w:t>
            </w:r>
            <w:proofErr w:type="spellEnd"/>
            <w:r w:rsidR="00892D66">
              <w:rPr>
                <w:rFonts w:asciiTheme="majorHAnsi" w:eastAsiaTheme="minorEastAsia" w:hAnsiTheme="majorHAnsi" w:cstheme="majorHAnsi"/>
                <w:i/>
                <w:iCs/>
                <w:szCs w:val="20"/>
                <w:lang w:val="sq-AL"/>
              </w:rPr>
              <w:t>/</w:t>
            </w:r>
            <w:r w:rsidR="00E540D4">
              <w:rPr>
                <w:rFonts w:asciiTheme="majorHAnsi" w:eastAsiaTheme="minorEastAsia" w:hAnsiTheme="majorHAnsi" w:cstheme="majorHAnsi"/>
                <w:i/>
                <w:iCs/>
                <w:szCs w:val="20"/>
                <w:lang w:val="sq-AL"/>
              </w:rPr>
              <w:t xml:space="preserve">stimujve </w:t>
            </w:r>
            <w:r w:rsidR="001A4CC6" w:rsidRPr="001A4CC6">
              <w:rPr>
                <w:rFonts w:asciiTheme="majorHAnsi" w:eastAsiaTheme="minorEastAsia" w:hAnsiTheme="majorHAnsi" w:cstheme="majorHAnsi"/>
                <w:i/>
                <w:iCs/>
                <w:szCs w:val="20"/>
                <w:lang w:val="sq-AL"/>
              </w:rPr>
              <w:t>në lidhje me transparencën, qe</w:t>
            </w:r>
            <w:r w:rsidR="001A4CC6">
              <w:rPr>
                <w:rFonts w:asciiTheme="majorHAnsi" w:eastAsiaTheme="minorEastAsia" w:hAnsiTheme="majorHAnsi" w:cstheme="majorHAnsi"/>
                <w:i/>
                <w:iCs/>
                <w:szCs w:val="20"/>
                <w:lang w:val="sq-AL"/>
              </w:rPr>
              <w:t xml:space="preserve">verisjen dhe </w:t>
            </w:r>
            <w:proofErr w:type="spellStart"/>
            <w:r w:rsidR="001A4CC6">
              <w:rPr>
                <w:rFonts w:asciiTheme="majorHAnsi" w:eastAsiaTheme="minorEastAsia" w:hAnsiTheme="majorHAnsi" w:cstheme="majorHAnsi"/>
                <w:i/>
                <w:iCs/>
                <w:szCs w:val="20"/>
                <w:lang w:val="sq-AL"/>
              </w:rPr>
              <w:t>parashikueshmërinë</w:t>
            </w:r>
            <w:proofErr w:type="spellEnd"/>
            <w:r w:rsidR="001A4CC6">
              <w:rPr>
                <w:rFonts w:asciiTheme="majorHAnsi" w:eastAsiaTheme="minorEastAsia" w:hAnsiTheme="majorHAnsi" w:cstheme="majorHAnsi"/>
                <w:i/>
                <w:iCs/>
                <w:szCs w:val="20"/>
                <w:lang w:val="sq-AL"/>
              </w:rPr>
              <w:t xml:space="preserve"> </w:t>
            </w:r>
            <w:r w:rsidR="001A4CC6" w:rsidRPr="001A4CC6">
              <w:rPr>
                <w:rFonts w:asciiTheme="majorHAnsi" w:eastAsiaTheme="minorEastAsia" w:hAnsiTheme="majorHAnsi" w:cstheme="majorHAnsi"/>
                <w:i/>
                <w:iCs/>
                <w:szCs w:val="20"/>
                <w:lang w:val="sq-AL"/>
              </w:rPr>
              <w:t>në përputhje me detyrimet që rrjedhin nga procesi i para anëtarësimit në BE (kapitulli mbi konkurrencën dhe ndihmën shtetërore).</w:t>
            </w:r>
          </w:p>
        </w:tc>
        <w:tc>
          <w:tcPr>
            <w:tcW w:w="2610" w:type="dxa"/>
          </w:tcPr>
          <w:p w14:paraId="1322B477" w14:textId="31C9FD26" w:rsidR="006D0E53" w:rsidRPr="009A66BD" w:rsidRDefault="006D0E53" w:rsidP="00892D6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6.1.1 </w:t>
            </w:r>
            <w:r w:rsidR="001A4CC6" w:rsidRPr="001A4CC6">
              <w:rPr>
                <w:rFonts w:asciiTheme="minorHAnsi" w:eastAsiaTheme="minorEastAsia" w:hAnsiTheme="minorHAnsi" w:cstheme="minorHAnsi"/>
                <w:szCs w:val="20"/>
                <w:lang w:val="sq-AL"/>
              </w:rPr>
              <w:t>Forcimi i zba</w:t>
            </w:r>
            <w:r w:rsidR="0092096C">
              <w:rPr>
                <w:rFonts w:asciiTheme="minorHAnsi" w:eastAsiaTheme="minorEastAsia" w:hAnsiTheme="minorHAnsi" w:cstheme="minorHAnsi"/>
                <w:szCs w:val="20"/>
                <w:lang w:val="sq-AL"/>
              </w:rPr>
              <w:t xml:space="preserve">timit të ligjit të konkurrencës </w:t>
            </w:r>
            <w:r w:rsidR="001A4CC6" w:rsidRPr="001A4CC6">
              <w:rPr>
                <w:rFonts w:asciiTheme="minorHAnsi" w:eastAsiaTheme="minorEastAsia" w:hAnsiTheme="minorHAnsi" w:cstheme="minorHAnsi"/>
                <w:szCs w:val="20"/>
                <w:lang w:val="sq-AL"/>
              </w:rPr>
              <w:t xml:space="preserve">dhe </w:t>
            </w:r>
            <w:r w:rsidR="0092096C">
              <w:rPr>
                <w:rFonts w:asciiTheme="minorHAnsi" w:eastAsiaTheme="minorEastAsia" w:hAnsiTheme="minorHAnsi" w:cstheme="minorHAnsi"/>
                <w:szCs w:val="20"/>
                <w:lang w:val="sq-AL"/>
              </w:rPr>
              <w:t xml:space="preserve"> </w:t>
            </w:r>
            <w:r w:rsidR="001A4CC6" w:rsidRPr="001A4CC6">
              <w:rPr>
                <w:rFonts w:asciiTheme="minorHAnsi" w:eastAsiaTheme="minorEastAsia" w:hAnsiTheme="minorHAnsi" w:cstheme="minorHAnsi"/>
                <w:szCs w:val="20"/>
                <w:lang w:val="sq-AL"/>
              </w:rPr>
              <w:t>ndihmë</w:t>
            </w:r>
            <w:r w:rsidR="00892D66">
              <w:rPr>
                <w:rFonts w:asciiTheme="minorHAnsi" w:eastAsiaTheme="minorEastAsia" w:hAnsiTheme="minorHAnsi" w:cstheme="minorHAnsi"/>
                <w:szCs w:val="20"/>
                <w:lang w:val="sq-AL"/>
              </w:rPr>
              <w:t>s</w:t>
            </w:r>
            <w:r w:rsidR="001A4CC6" w:rsidRPr="001A4CC6">
              <w:rPr>
                <w:rFonts w:asciiTheme="minorHAnsi" w:eastAsiaTheme="minorEastAsia" w:hAnsiTheme="minorHAnsi" w:cstheme="minorHAnsi"/>
                <w:szCs w:val="20"/>
                <w:lang w:val="sq-AL"/>
              </w:rPr>
              <w:t xml:space="preserve"> shtetërore.</w:t>
            </w:r>
          </w:p>
        </w:tc>
        <w:tc>
          <w:tcPr>
            <w:tcW w:w="900" w:type="dxa"/>
          </w:tcPr>
          <w:p w14:paraId="3572037C" w14:textId="776F2716" w:rsidR="006D0E53" w:rsidRPr="009A66BD" w:rsidRDefault="0066150C"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Dhjetor</w:t>
            </w:r>
            <w:r w:rsidR="4F35933F" w:rsidRPr="009A66BD">
              <w:rPr>
                <w:rFonts w:asciiTheme="minorHAnsi" w:eastAsiaTheme="minorEastAsia" w:hAnsiTheme="minorHAnsi" w:cstheme="minorHAnsi"/>
                <w:lang w:val="sq-AL"/>
              </w:rPr>
              <w:t>2019</w:t>
            </w:r>
          </w:p>
        </w:tc>
        <w:tc>
          <w:tcPr>
            <w:tcW w:w="1260" w:type="dxa"/>
          </w:tcPr>
          <w:p w14:paraId="7FB1C6BF" w14:textId="5F1F4925" w:rsidR="006D0E53" w:rsidRPr="009A66BD" w:rsidRDefault="0063032B"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Ministria e Financave (Departamenti për Ndihmë Shtetërore)</w:t>
            </w:r>
          </w:p>
        </w:tc>
        <w:tc>
          <w:tcPr>
            <w:tcW w:w="1980" w:type="dxa"/>
          </w:tcPr>
          <w:p w14:paraId="44861EF8" w14:textId="0438CE8C" w:rsidR="006D0E53" w:rsidRPr="009A66BD" w:rsidRDefault="0092096C" w:rsidP="0087187B">
            <w:pPr>
              <w:spacing w:after="120" w:line="240" w:lineRule="auto"/>
              <w:ind w:firstLine="0"/>
              <w:jc w:val="left"/>
              <w:rPr>
                <w:rFonts w:asciiTheme="minorHAnsi" w:eastAsiaTheme="minorEastAsia" w:hAnsiTheme="minorHAnsi" w:cstheme="minorHAnsi"/>
                <w:lang w:val="sq-AL"/>
              </w:rPr>
            </w:pPr>
            <w:r w:rsidRPr="0092096C">
              <w:rPr>
                <w:rFonts w:asciiTheme="minorHAnsi" w:eastAsiaTheme="minorEastAsia" w:hAnsiTheme="minorHAnsi" w:cstheme="minorHAnsi"/>
                <w:lang w:val="sq-AL"/>
              </w:rPr>
              <w:t xml:space="preserve">Departamenti për Ndihmë Shtetërore me personel </w:t>
            </w:r>
            <w:r w:rsidR="0087187B" w:rsidRPr="0092096C">
              <w:rPr>
                <w:rFonts w:asciiTheme="minorHAnsi" w:eastAsiaTheme="minorEastAsia" w:hAnsiTheme="minorHAnsi" w:cstheme="minorHAnsi"/>
                <w:lang w:val="sq-AL"/>
              </w:rPr>
              <w:t xml:space="preserve">dhe burime </w:t>
            </w:r>
            <w:r w:rsidRPr="0092096C">
              <w:rPr>
                <w:rFonts w:asciiTheme="minorHAnsi" w:eastAsiaTheme="minorEastAsia" w:hAnsiTheme="minorHAnsi" w:cstheme="minorHAnsi"/>
                <w:lang w:val="sq-AL"/>
              </w:rPr>
              <w:t>të  duhur</w:t>
            </w:r>
            <w:r w:rsidR="0087187B">
              <w:rPr>
                <w:rFonts w:asciiTheme="minorHAnsi" w:eastAsiaTheme="minorEastAsia" w:hAnsiTheme="minorHAnsi" w:cstheme="minorHAnsi"/>
                <w:lang w:val="sq-AL"/>
              </w:rPr>
              <w:t>a</w:t>
            </w:r>
            <w:r w:rsidRPr="0092096C">
              <w:rPr>
                <w:rFonts w:asciiTheme="minorHAnsi" w:eastAsiaTheme="minorEastAsia" w:hAnsiTheme="minorHAnsi" w:cstheme="minorHAnsi"/>
                <w:lang w:val="sq-AL"/>
              </w:rPr>
              <w:t xml:space="preserve"> për të kryer mandatin e tij</w:t>
            </w:r>
          </w:p>
        </w:tc>
        <w:tc>
          <w:tcPr>
            <w:tcW w:w="1080" w:type="dxa"/>
          </w:tcPr>
          <w:p w14:paraId="1DAE5713" w14:textId="5DBFFB68" w:rsidR="006D0E53" w:rsidRPr="009A66BD" w:rsidRDefault="00D23D07"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Po</w:t>
            </w:r>
          </w:p>
        </w:tc>
        <w:tc>
          <w:tcPr>
            <w:tcW w:w="4508" w:type="dxa"/>
          </w:tcPr>
          <w:p w14:paraId="444F34A4" w14:textId="100CD770" w:rsidR="006D0E53" w:rsidRPr="009A66BD" w:rsidRDefault="0087187B" w:rsidP="006D0E53">
            <w:pPr>
              <w:spacing w:after="120" w:line="240" w:lineRule="auto"/>
              <w:ind w:firstLine="0"/>
              <w:jc w:val="left"/>
              <w:rPr>
                <w:rFonts w:asciiTheme="minorHAnsi" w:eastAsiaTheme="minorEastAsia" w:hAnsiTheme="minorHAnsi" w:cstheme="minorHAnsi"/>
                <w:i/>
                <w:szCs w:val="20"/>
                <w:lang w:val="sq-AL"/>
              </w:rPr>
            </w:pPr>
            <w:r w:rsidRPr="0087187B">
              <w:rPr>
                <w:rFonts w:asciiTheme="minorHAnsi" w:eastAsia="Calibri" w:hAnsiTheme="minorHAnsi" w:cstheme="minorHAnsi"/>
                <w:i/>
                <w:szCs w:val="20"/>
                <w:lang w:val="sq-AL"/>
              </w:rPr>
              <w:t>Ky veprim për reforma bazohet në rekomandimet e përcaktuara në raportin e Progresit të Komisionit Evropian për vitin 2018.</w:t>
            </w:r>
          </w:p>
        </w:tc>
      </w:tr>
      <w:tr w:rsidR="007A54BB" w:rsidRPr="00612497" w14:paraId="4569DB18"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6D1B4BAE" w14:textId="77777777" w:rsidR="007A54BB" w:rsidRPr="009A66BD" w:rsidRDefault="007A54BB" w:rsidP="006D0E53">
            <w:pPr>
              <w:spacing w:after="120" w:line="240" w:lineRule="auto"/>
              <w:ind w:firstLine="0"/>
              <w:jc w:val="left"/>
              <w:rPr>
                <w:rFonts w:asciiTheme="minorHAnsi" w:eastAsiaTheme="minorHAnsi" w:hAnsiTheme="minorHAnsi" w:cstheme="minorHAnsi"/>
                <w:szCs w:val="20"/>
                <w:lang w:val="sq-AL"/>
              </w:rPr>
            </w:pPr>
          </w:p>
        </w:tc>
        <w:tc>
          <w:tcPr>
            <w:tcW w:w="2610" w:type="dxa"/>
          </w:tcPr>
          <w:p w14:paraId="2F33C81E" w14:textId="466CA593" w:rsidR="007A54BB" w:rsidRPr="009A66BD" w:rsidRDefault="007A54BB" w:rsidP="00892D6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6.1.2 </w:t>
            </w:r>
            <w:r w:rsidR="0015663F" w:rsidRPr="0015663F">
              <w:rPr>
                <w:rFonts w:asciiTheme="minorHAnsi" w:eastAsiaTheme="minorEastAsia" w:hAnsiTheme="minorHAnsi" w:cstheme="minorHAnsi"/>
                <w:szCs w:val="20"/>
                <w:lang w:val="sq-AL"/>
              </w:rPr>
              <w:t xml:space="preserve">Kompletimi i harmonizimit të legjislacionit zbatues </w:t>
            </w:r>
            <w:r w:rsidR="00892D66">
              <w:rPr>
                <w:rFonts w:asciiTheme="minorHAnsi" w:eastAsiaTheme="minorEastAsia" w:hAnsiTheme="minorHAnsi" w:cstheme="minorHAnsi"/>
                <w:szCs w:val="20"/>
                <w:lang w:val="sq-AL"/>
              </w:rPr>
              <w:t>mbi</w:t>
            </w:r>
            <w:r w:rsidR="0015663F" w:rsidRPr="0015663F">
              <w:rPr>
                <w:rFonts w:asciiTheme="minorHAnsi" w:eastAsiaTheme="minorEastAsia" w:hAnsiTheme="minorHAnsi" w:cstheme="minorHAnsi"/>
                <w:szCs w:val="20"/>
                <w:lang w:val="sq-AL"/>
              </w:rPr>
              <w:t xml:space="preserve"> konkurrencë</w:t>
            </w:r>
            <w:r w:rsidR="00892D66">
              <w:rPr>
                <w:rFonts w:asciiTheme="minorHAnsi" w:eastAsiaTheme="minorEastAsia" w:hAnsiTheme="minorHAnsi" w:cstheme="minorHAnsi"/>
                <w:szCs w:val="20"/>
                <w:lang w:val="sq-AL"/>
              </w:rPr>
              <w:t>n</w:t>
            </w:r>
            <w:r w:rsidR="0015663F" w:rsidRPr="0015663F">
              <w:rPr>
                <w:rFonts w:asciiTheme="minorHAnsi" w:eastAsiaTheme="minorEastAsia" w:hAnsiTheme="minorHAnsi" w:cstheme="minorHAnsi"/>
                <w:szCs w:val="20"/>
                <w:lang w:val="sq-AL"/>
              </w:rPr>
              <w:t xml:space="preserve"> dhe ndihmë</w:t>
            </w:r>
            <w:r w:rsidR="00892D66">
              <w:rPr>
                <w:rFonts w:asciiTheme="minorHAnsi" w:eastAsiaTheme="minorEastAsia" w:hAnsiTheme="minorHAnsi" w:cstheme="minorHAnsi"/>
                <w:szCs w:val="20"/>
                <w:lang w:val="sq-AL"/>
              </w:rPr>
              <w:t>n</w:t>
            </w:r>
            <w:r w:rsidR="0015663F" w:rsidRPr="0015663F">
              <w:rPr>
                <w:rFonts w:asciiTheme="minorHAnsi" w:eastAsiaTheme="minorEastAsia" w:hAnsiTheme="minorHAnsi" w:cstheme="minorHAnsi"/>
                <w:szCs w:val="20"/>
                <w:lang w:val="sq-AL"/>
              </w:rPr>
              <w:t xml:space="preserve"> shtetërore.</w:t>
            </w:r>
          </w:p>
        </w:tc>
        <w:tc>
          <w:tcPr>
            <w:tcW w:w="900" w:type="dxa"/>
          </w:tcPr>
          <w:p w14:paraId="7090F5F2" w14:textId="705CCF5B" w:rsidR="007A54BB" w:rsidRPr="009A66BD" w:rsidRDefault="007A54BB"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Dhjetor 2019</w:t>
            </w:r>
          </w:p>
        </w:tc>
        <w:tc>
          <w:tcPr>
            <w:tcW w:w="1260" w:type="dxa"/>
          </w:tcPr>
          <w:p w14:paraId="043836F5" w14:textId="480872C0" w:rsidR="007A54BB" w:rsidRPr="009A66BD" w:rsidRDefault="007A54BB"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Ministria e Financave (Departamenti për Ndihmë Shtetërore)</w:t>
            </w:r>
          </w:p>
        </w:tc>
        <w:tc>
          <w:tcPr>
            <w:tcW w:w="1980" w:type="dxa"/>
          </w:tcPr>
          <w:p w14:paraId="2E35A2CC" w14:textId="1549301B" w:rsidR="007A54BB" w:rsidRPr="009A66BD" w:rsidRDefault="00892D66" w:rsidP="00892D66">
            <w:pPr>
              <w:spacing w:after="120" w:line="240" w:lineRule="auto"/>
              <w:ind w:firstLine="0"/>
              <w:jc w:val="left"/>
              <w:rPr>
                <w:rFonts w:asciiTheme="minorHAnsi" w:eastAsiaTheme="minorEastAsia" w:hAnsiTheme="minorHAnsi" w:cstheme="minorHAnsi"/>
                <w:lang w:val="sq-AL"/>
              </w:rPr>
            </w:pPr>
            <w:r>
              <w:rPr>
                <w:rFonts w:asciiTheme="minorHAnsi" w:eastAsiaTheme="minorEastAsia" w:hAnsiTheme="minorHAnsi" w:cstheme="minorHAnsi"/>
                <w:lang w:val="sq-AL"/>
              </w:rPr>
              <w:t xml:space="preserve">Legjislacioni zbatues i </w:t>
            </w:r>
            <w:r w:rsidR="001B625A" w:rsidRPr="001B625A">
              <w:rPr>
                <w:rFonts w:asciiTheme="minorHAnsi" w:eastAsiaTheme="minorEastAsia" w:hAnsiTheme="minorHAnsi" w:cstheme="minorHAnsi"/>
                <w:lang w:val="sq-AL"/>
              </w:rPr>
              <w:t xml:space="preserve"> Ligjit të ri për Ndihmë Shtetërore, i harmonizuar për të forcuar zbatimin.</w:t>
            </w:r>
          </w:p>
        </w:tc>
        <w:tc>
          <w:tcPr>
            <w:tcW w:w="1080" w:type="dxa"/>
          </w:tcPr>
          <w:p w14:paraId="5AB32DAC" w14:textId="5352091A" w:rsidR="007A54BB" w:rsidRPr="009A66BD" w:rsidRDefault="007A54BB"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Jo</w:t>
            </w:r>
          </w:p>
        </w:tc>
        <w:tc>
          <w:tcPr>
            <w:tcW w:w="4508" w:type="dxa"/>
          </w:tcPr>
          <w:p w14:paraId="26EBF6DA" w14:textId="7B4ADF8F" w:rsidR="007A54BB" w:rsidRPr="007A54BB" w:rsidRDefault="007A54BB" w:rsidP="006D0E53">
            <w:pPr>
              <w:spacing w:after="120" w:line="240" w:lineRule="auto"/>
              <w:ind w:firstLine="0"/>
              <w:jc w:val="left"/>
              <w:rPr>
                <w:rFonts w:asciiTheme="minorHAnsi" w:eastAsia="Calibri" w:hAnsiTheme="minorHAnsi" w:cstheme="minorHAnsi"/>
                <w:i/>
                <w:szCs w:val="20"/>
                <w:lang w:val="sq-AL"/>
              </w:rPr>
            </w:pPr>
            <w:r w:rsidRPr="007A54BB">
              <w:rPr>
                <w:rFonts w:asciiTheme="minorHAnsi" w:eastAsia="Calibri" w:hAnsiTheme="minorHAnsi" w:cstheme="minorHAnsi"/>
                <w:i/>
                <w:szCs w:val="20"/>
                <w:lang w:val="sq-AL"/>
              </w:rPr>
              <w:t>Ky veprim për reforma bazohet në rekomandimet e përcaktuara në raportin e Progresit të Komisionit Evropian për vitin 2018.</w:t>
            </w:r>
          </w:p>
        </w:tc>
      </w:tr>
      <w:tr w:rsidR="007A54BB" w:rsidRPr="00612497" w14:paraId="600222ED" w14:textId="77777777" w:rsidTr="00D43D3C">
        <w:trPr>
          <w:trHeight w:val="1015"/>
        </w:trPr>
        <w:tc>
          <w:tcPr>
            <w:tcW w:w="2335" w:type="dxa"/>
            <w:vMerge/>
          </w:tcPr>
          <w:p w14:paraId="1EF3E1E5" w14:textId="77777777" w:rsidR="007A54BB" w:rsidRPr="009A66BD" w:rsidRDefault="007A54BB" w:rsidP="006D0E53">
            <w:pPr>
              <w:spacing w:after="120" w:line="240" w:lineRule="auto"/>
              <w:ind w:firstLine="0"/>
              <w:jc w:val="left"/>
              <w:rPr>
                <w:rFonts w:asciiTheme="minorHAnsi" w:eastAsiaTheme="minorHAnsi" w:hAnsiTheme="minorHAnsi" w:cstheme="minorHAnsi"/>
                <w:szCs w:val="20"/>
                <w:lang w:val="sq-AL"/>
              </w:rPr>
            </w:pPr>
          </w:p>
        </w:tc>
        <w:tc>
          <w:tcPr>
            <w:tcW w:w="2610" w:type="dxa"/>
          </w:tcPr>
          <w:p w14:paraId="61D9395F" w14:textId="4120DC5E" w:rsidR="007A54BB" w:rsidRPr="009A66BD" w:rsidRDefault="007A54BB" w:rsidP="000D08C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6.1.3 </w:t>
            </w:r>
            <w:r w:rsidR="007805D6" w:rsidRPr="007805D6">
              <w:rPr>
                <w:rFonts w:asciiTheme="minorHAnsi" w:eastAsiaTheme="minorEastAsia" w:hAnsiTheme="minorHAnsi" w:cstheme="minorHAnsi"/>
                <w:szCs w:val="20"/>
                <w:lang w:val="sq-AL"/>
              </w:rPr>
              <w:t xml:space="preserve">Të sigurohet kapaciteti funksional dhe pavarësia </w:t>
            </w:r>
            <w:proofErr w:type="spellStart"/>
            <w:r w:rsidR="007805D6" w:rsidRPr="007805D6">
              <w:rPr>
                <w:rFonts w:asciiTheme="minorHAnsi" w:eastAsiaTheme="minorEastAsia" w:hAnsiTheme="minorHAnsi" w:cstheme="minorHAnsi"/>
                <w:szCs w:val="20"/>
                <w:lang w:val="sq-AL"/>
              </w:rPr>
              <w:t>operacionale</w:t>
            </w:r>
            <w:proofErr w:type="spellEnd"/>
            <w:r w:rsidR="007805D6" w:rsidRPr="007805D6">
              <w:rPr>
                <w:rFonts w:asciiTheme="minorHAnsi" w:eastAsiaTheme="minorEastAsia" w:hAnsiTheme="minorHAnsi" w:cstheme="minorHAnsi"/>
                <w:szCs w:val="20"/>
                <w:lang w:val="sq-AL"/>
              </w:rPr>
              <w:t xml:space="preserve"> e institucioneve të konkurrencës dhe ndihmës shtetërore, përgjegjëse për zhvillim</w:t>
            </w:r>
            <w:r w:rsidR="00892D66">
              <w:rPr>
                <w:rFonts w:asciiTheme="minorHAnsi" w:eastAsiaTheme="minorEastAsia" w:hAnsiTheme="minorHAnsi" w:cstheme="minorHAnsi"/>
                <w:szCs w:val="20"/>
                <w:lang w:val="sq-AL"/>
              </w:rPr>
              <w:t>in</w:t>
            </w:r>
            <w:r w:rsidR="007805D6" w:rsidRPr="007805D6">
              <w:rPr>
                <w:rFonts w:asciiTheme="minorHAnsi" w:eastAsiaTheme="minorEastAsia" w:hAnsiTheme="minorHAnsi" w:cstheme="minorHAnsi"/>
                <w:szCs w:val="20"/>
                <w:lang w:val="sq-AL"/>
              </w:rPr>
              <w:t xml:space="preserve"> dhe zbatim</w:t>
            </w:r>
            <w:r w:rsidR="00892D66">
              <w:rPr>
                <w:rFonts w:asciiTheme="minorHAnsi" w:eastAsiaTheme="minorEastAsia" w:hAnsiTheme="minorHAnsi" w:cstheme="minorHAnsi"/>
                <w:szCs w:val="20"/>
                <w:lang w:val="sq-AL"/>
              </w:rPr>
              <w:t>in</w:t>
            </w:r>
            <w:r w:rsidR="007805D6" w:rsidRPr="007805D6">
              <w:rPr>
                <w:rFonts w:asciiTheme="minorHAnsi" w:eastAsiaTheme="minorEastAsia" w:hAnsiTheme="minorHAnsi" w:cstheme="minorHAnsi"/>
                <w:szCs w:val="20"/>
                <w:lang w:val="sq-AL"/>
              </w:rPr>
              <w:t xml:space="preserve"> në të gjitha nivelet.</w:t>
            </w:r>
          </w:p>
        </w:tc>
        <w:tc>
          <w:tcPr>
            <w:tcW w:w="900" w:type="dxa"/>
          </w:tcPr>
          <w:p w14:paraId="657ADA56" w14:textId="1506CCC4" w:rsidR="007A54BB" w:rsidRPr="009A66BD" w:rsidRDefault="007A54BB"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Dhjetor 2019</w:t>
            </w:r>
          </w:p>
        </w:tc>
        <w:tc>
          <w:tcPr>
            <w:tcW w:w="1260" w:type="dxa"/>
          </w:tcPr>
          <w:p w14:paraId="3516F381" w14:textId="1D42968E" w:rsidR="007A54BB" w:rsidRPr="009A66BD" w:rsidRDefault="007A54BB" w:rsidP="00C80F11">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Ministria e Financave (Departamenti për Ndihmë Shtetërore)</w:t>
            </w:r>
          </w:p>
        </w:tc>
        <w:tc>
          <w:tcPr>
            <w:tcW w:w="1980" w:type="dxa"/>
          </w:tcPr>
          <w:p w14:paraId="4C8862AC" w14:textId="6D8E4BDE" w:rsidR="007A54BB" w:rsidRPr="009A66BD" w:rsidRDefault="00892D66" w:rsidP="00892D66">
            <w:pPr>
              <w:spacing w:after="120" w:line="240" w:lineRule="auto"/>
              <w:ind w:firstLine="0"/>
              <w:jc w:val="left"/>
              <w:rPr>
                <w:rFonts w:asciiTheme="minorHAnsi" w:eastAsiaTheme="minorEastAsia" w:hAnsiTheme="minorHAnsi" w:cstheme="minorHAnsi"/>
                <w:szCs w:val="20"/>
                <w:lang w:val="sq-AL"/>
              </w:rPr>
            </w:pPr>
            <w:r>
              <w:rPr>
                <w:rFonts w:asciiTheme="minorHAnsi" w:eastAsiaTheme="minorEastAsia" w:hAnsiTheme="minorHAnsi" w:cstheme="minorHAnsi"/>
                <w:szCs w:val="20"/>
                <w:lang w:val="sq-AL"/>
              </w:rPr>
              <w:t>Institucionet e konkurrenc</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s dhe ndihm</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s shtet</w:t>
            </w:r>
            <w:r w:rsidR="006822F7">
              <w:rPr>
                <w:rFonts w:asciiTheme="minorHAnsi" w:eastAsiaTheme="minorEastAsia" w:hAnsiTheme="minorHAnsi" w:cstheme="minorHAnsi"/>
                <w:szCs w:val="20"/>
                <w:lang w:val="sq-AL"/>
              </w:rPr>
              <w:t>ë</w:t>
            </w:r>
            <w:r>
              <w:rPr>
                <w:rFonts w:asciiTheme="minorHAnsi" w:eastAsiaTheme="minorEastAsia" w:hAnsiTheme="minorHAnsi" w:cstheme="minorHAnsi"/>
                <w:szCs w:val="20"/>
                <w:lang w:val="sq-AL"/>
              </w:rPr>
              <w:t>rore</w:t>
            </w:r>
            <w:r w:rsidR="000C7533" w:rsidRPr="000C7533">
              <w:rPr>
                <w:rFonts w:asciiTheme="minorHAnsi" w:eastAsiaTheme="minorEastAsia" w:hAnsiTheme="minorHAnsi" w:cstheme="minorHAnsi"/>
                <w:szCs w:val="20"/>
                <w:lang w:val="sq-AL"/>
              </w:rPr>
              <w:t xml:space="preserve"> në të gjitha nivelet</w:t>
            </w:r>
            <w:r>
              <w:rPr>
                <w:rFonts w:asciiTheme="minorHAnsi" w:eastAsiaTheme="minorEastAsia" w:hAnsiTheme="minorHAnsi" w:cstheme="minorHAnsi"/>
                <w:szCs w:val="20"/>
                <w:lang w:val="sq-AL"/>
              </w:rPr>
              <w:t>,</w:t>
            </w:r>
            <w:r w:rsidR="000C7533" w:rsidRPr="000C7533">
              <w:rPr>
                <w:rFonts w:asciiTheme="minorHAnsi" w:eastAsiaTheme="minorEastAsia" w:hAnsiTheme="minorHAnsi" w:cstheme="minorHAnsi"/>
                <w:szCs w:val="20"/>
                <w:lang w:val="sq-AL"/>
              </w:rPr>
              <w:t xml:space="preserve"> funksionale.</w:t>
            </w:r>
          </w:p>
        </w:tc>
        <w:tc>
          <w:tcPr>
            <w:tcW w:w="1080" w:type="dxa"/>
          </w:tcPr>
          <w:p w14:paraId="174DCAFA" w14:textId="16DAC699" w:rsidR="007A54BB" w:rsidRPr="009A66BD" w:rsidRDefault="007A54BB" w:rsidP="006D0E53">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Jo</w:t>
            </w:r>
          </w:p>
        </w:tc>
        <w:tc>
          <w:tcPr>
            <w:tcW w:w="4508" w:type="dxa"/>
          </w:tcPr>
          <w:p w14:paraId="1E70949E" w14:textId="04B4409E" w:rsidR="007A54BB" w:rsidRPr="007A54BB" w:rsidRDefault="007A54BB" w:rsidP="006D0E53">
            <w:pPr>
              <w:spacing w:after="120" w:line="240" w:lineRule="auto"/>
              <w:ind w:firstLine="0"/>
              <w:jc w:val="left"/>
              <w:rPr>
                <w:rFonts w:asciiTheme="minorHAnsi" w:eastAsia="Calibri" w:hAnsiTheme="minorHAnsi" w:cstheme="minorHAnsi"/>
                <w:i/>
                <w:szCs w:val="20"/>
                <w:lang w:val="sq-AL"/>
              </w:rPr>
            </w:pPr>
            <w:r w:rsidRPr="007A54BB">
              <w:rPr>
                <w:rFonts w:asciiTheme="minorHAnsi" w:eastAsia="Calibri" w:hAnsiTheme="minorHAnsi" w:cstheme="minorHAnsi"/>
                <w:i/>
                <w:szCs w:val="20"/>
                <w:lang w:val="sq-AL"/>
              </w:rPr>
              <w:t>Ky veprim për reforma bazohet në rekomandimet e përcaktuara në raportin e Progresit të Komisionit Evropian për vitin 2018.</w:t>
            </w:r>
          </w:p>
        </w:tc>
      </w:tr>
      <w:tr w:rsidR="006D0E53" w:rsidRPr="009A66BD" w14:paraId="468BAD96"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val="restart"/>
          </w:tcPr>
          <w:p w14:paraId="4D02BA69" w14:textId="7855A822" w:rsidR="006D0E53" w:rsidRPr="009A66BD" w:rsidRDefault="00892D66" w:rsidP="00892D66">
            <w:pPr>
              <w:spacing w:after="120" w:line="240" w:lineRule="auto"/>
              <w:ind w:left="520" w:firstLine="0"/>
              <w:jc w:val="left"/>
              <w:rPr>
                <w:rFonts w:asciiTheme="majorHAnsi" w:eastAsiaTheme="minorEastAsia" w:hAnsiTheme="majorHAnsi" w:cstheme="majorHAnsi"/>
                <w:szCs w:val="20"/>
                <w:lang w:val="sq-AL"/>
              </w:rPr>
            </w:pPr>
            <w:r>
              <w:rPr>
                <w:rFonts w:asciiTheme="majorHAnsi" w:eastAsiaTheme="minorEastAsia" w:hAnsiTheme="majorHAnsi" w:cstheme="majorHAnsi"/>
                <w:i/>
                <w:iCs/>
                <w:szCs w:val="20"/>
                <w:lang w:val="sq-AL"/>
              </w:rPr>
              <w:t xml:space="preserve">6.2 </w:t>
            </w:r>
            <w:r w:rsidRPr="00892D66">
              <w:rPr>
                <w:rFonts w:asciiTheme="majorHAnsi" w:eastAsiaTheme="minorEastAsia" w:hAnsiTheme="majorHAnsi" w:cstheme="majorHAnsi"/>
                <w:i/>
                <w:iCs/>
                <w:szCs w:val="20"/>
                <w:lang w:val="sq-AL"/>
              </w:rPr>
              <w:t xml:space="preserve">Përmirësimi i qasjes në  informacione mbi </w:t>
            </w:r>
            <w:proofErr w:type="spellStart"/>
            <w:r w:rsidRPr="00892D66">
              <w:rPr>
                <w:rFonts w:asciiTheme="majorHAnsi" w:eastAsiaTheme="minorEastAsia" w:hAnsiTheme="majorHAnsi" w:cstheme="majorHAnsi"/>
                <w:i/>
                <w:iCs/>
                <w:szCs w:val="20"/>
                <w:lang w:val="sq-AL"/>
              </w:rPr>
              <w:t>incentivat</w:t>
            </w:r>
            <w:proofErr w:type="spellEnd"/>
            <w:r w:rsidRPr="00892D66">
              <w:rPr>
                <w:rFonts w:asciiTheme="majorHAnsi" w:eastAsiaTheme="minorEastAsia" w:hAnsiTheme="majorHAnsi" w:cstheme="majorHAnsi"/>
                <w:i/>
                <w:iCs/>
                <w:szCs w:val="20"/>
                <w:lang w:val="sq-AL"/>
              </w:rPr>
              <w:t xml:space="preserve">/stimujt duke publikuar inventarë në nivel të ekonomisë që centralizojnë </w:t>
            </w:r>
            <w:r w:rsidRPr="00892D66">
              <w:rPr>
                <w:rFonts w:asciiTheme="majorHAnsi" w:eastAsiaTheme="minorEastAsia" w:hAnsiTheme="majorHAnsi" w:cstheme="majorHAnsi"/>
                <w:i/>
                <w:iCs/>
                <w:szCs w:val="20"/>
                <w:lang w:val="sq-AL"/>
              </w:rPr>
              <w:lastRenderedPageBreak/>
              <w:t>dispozitat dhe të dhënat kryesore që lidhen me këto instrumente.</w:t>
            </w:r>
          </w:p>
        </w:tc>
        <w:tc>
          <w:tcPr>
            <w:tcW w:w="2610" w:type="dxa"/>
          </w:tcPr>
          <w:p w14:paraId="3E94AA21" w14:textId="5DE4AF80" w:rsidR="006D0E53" w:rsidRPr="009A66BD" w:rsidRDefault="006D0E53" w:rsidP="006D0E53">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 xml:space="preserve">6.2.1 </w:t>
            </w:r>
            <w:r w:rsidR="005C642E" w:rsidRPr="005C642E">
              <w:rPr>
                <w:rFonts w:asciiTheme="minorHAnsi" w:eastAsiaTheme="minorEastAsia" w:hAnsiTheme="minorHAnsi" w:cstheme="minorBidi"/>
                <w:szCs w:val="20"/>
                <w:lang w:val="sq-AL"/>
              </w:rPr>
              <w:t xml:space="preserve">Të ndërmerret një </w:t>
            </w:r>
            <w:proofErr w:type="spellStart"/>
            <w:r w:rsidR="00BB3088">
              <w:rPr>
                <w:rFonts w:asciiTheme="minorHAnsi" w:eastAsiaTheme="minorEastAsia" w:hAnsiTheme="minorHAnsi" w:cstheme="minorBidi"/>
                <w:szCs w:val="20"/>
                <w:lang w:val="sq-AL"/>
              </w:rPr>
              <w:t>hartëzim</w:t>
            </w:r>
            <w:proofErr w:type="spellEnd"/>
            <w:r w:rsidR="005C642E" w:rsidRPr="005C642E">
              <w:rPr>
                <w:rFonts w:asciiTheme="minorHAnsi" w:eastAsiaTheme="minorEastAsia" w:hAnsiTheme="minorHAnsi" w:cstheme="minorBidi"/>
                <w:szCs w:val="20"/>
                <w:lang w:val="sq-AL"/>
              </w:rPr>
              <w:t xml:space="preserve"> i detajuar i stimujve në dispozicion në të gjitha nivelet e qeverisë dhe hartimi i një inventari gjithëpërfshirës dhe të përditësuar të stimujve për Kosovën *</w:t>
            </w:r>
          </w:p>
        </w:tc>
        <w:tc>
          <w:tcPr>
            <w:tcW w:w="900" w:type="dxa"/>
          </w:tcPr>
          <w:p w14:paraId="684F8CA0" w14:textId="14267C0E" w:rsidR="006D0E53" w:rsidRPr="009A66BD" w:rsidRDefault="0066150C" w:rsidP="4F83B13C">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Shtator</w:t>
            </w:r>
            <w:r w:rsidR="4F83B13C" w:rsidRPr="009A66BD">
              <w:rPr>
                <w:rFonts w:asciiTheme="minorHAnsi" w:eastAsiaTheme="minorEastAsia" w:hAnsiTheme="minorHAnsi" w:cstheme="minorHAnsi"/>
                <w:lang w:val="sq-AL"/>
              </w:rPr>
              <w:t xml:space="preserve">2019 </w:t>
            </w:r>
          </w:p>
        </w:tc>
        <w:tc>
          <w:tcPr>
            <w:tcW w:w="1260" w:type="dxa"/>
          </w:tcPr>
          <w:p w14:paraId="4ED2D1C2" w14:textId="34DBA2CE" w:rsidR="006D0E53" w:rsidRPr="009A66BD" w:rsidRDefault="005B2877" w:rsidP="00C80F11">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szCs w:val="20"/>
                <w:lang w:val="sq-AL"/>
              </w:rPr>
              <w:t>KIESA*</w:t>
            </w:r>
          </w:p>
        </w:tc>
        <w:tc>
          <w:tcPr>
            <w:tcW w:w="1980" w:type="dxa"/>
          </w:tcPr>
          <w:p w14:paraId="6CAC1F7A" w14:textId="5A2D3B46" w:rsidR="006D0E53" w:rsidRPr="009A66BD" w:rsidRDefault="00B85C84" w:rsidP="3A25C5E1">
            <w:pPr>
              <w:spacing w:after="120" w:line="240" w:lineRule="auto"/>
              <w:ind w:firstLine="0"/>
              <w:jc w:val="left"/>
              <w:rPr>
                <w:rFonts w:asciiTheme="minorHAnsi" w:eastAsiaTheme="minorEastAsia" w:hAnsiTheme="minorHAnsi" w:cstheme="minorHAnsi"/>
                <w:lang w:val="sq-AL"/>
              </w:rPr>
            </w:pPr>
            <w:r w:rsidRPr="00B85C84">
              <w:rPr>
                <w:rFonts w:asciiTheme="minorHAnsi" w:eastAsiaTheme="minorEastAsia" w:hAnsiTheme="minorHAnsi" w:cstheme="minorHAnsi"/>
                <w:lang w:val="sq-AL"/>
              </w:rPr>
              <w:t xml:space="preserve">Inventari i stimujve të investimeve, duke përfshirë masat e ndihmës shtetërore të </w:t>
            </w:r>
            <w:proofErr w:type="spellStart"/>
            <w:r w:rsidRPr="00B85C84">
              <w:rPr>
                <w:rFonts w:asciiTheme="minorHAnsi" w:eastAsiaTheme="minorEastAsia" w:hAnsiTheme="minorHAnsi" w:cstheme="minorHAnsi"/>
                <w:lang w:val="sq-AL"/>
              </w:rPr>
              <w:t>konsoliduara</w:t>
            </w:r>
            <w:proofErr w:type="spellEnd"/>
            <w:r w:rsidRPr="00B85C84">
              <w:rPr>
                <w:rFonts w:asciiTheme="minorHAnsi" w:eastAsiaTheme="minorEastAsia" w:hAnsiTheme="minorHAnsi" w:cstheme="minorHAnsi"/>
                <w:lang w:val="sq-AL"/>
              </w:rPr>
              <w:t xml:space="preserve"> në një inventar të vetëm</w:t>
            </w:r>
            <w:r w:rsidR="008671EF" w:rsidRPr="009A66BD">
              <w:rPr>
                <w:rFonts w:asciiTheme="minorHAnsi" w:eastAsiaTheme="minorEastAsia" w:hAnsiTheme="minorHAnsi" w:cstheme="minorHAnsi"/>
                <w:lang w:val="sq-AL"/>
              </w:rPr>
              <w:t>.</w:t>
            </w:r>
          </w:p>
        </w:tc>
        <w:tc>
          <w:tcPr>
            <w:tcW w:w="1080" w:type="dxa"/>
          </w:tcPr>
          <w:p w14:paraId="22406D07" w14:textId="2F0A316E" w:rsidR="006D0E53" w:rsidRPr="009A66BD" w:rsidRDefault="008D5E84" w:rsidP="3A25C5E1">
            <w:pPr>
              <w:spacing w:after="120" w:line="240" w:lineRule="auto"/>
              <w:ind w:firstLine="0"/>
              <w:jc w:val="left"/>
              <w:rPr>
                <w:rFonts w:asciiTheme="minorHAnsi" w:eastAsiaTheme="minorEastAsia" w:hAnsiTheme="minorHAnsi" w:cstheme="minorHAnsi"/>
                <w:lang w:val="sq-AL"/>
              </w:rPr>
            </w:pPr>
            <w:r>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7401CAB2" w14:textId="5EBA8843" w:rsidR="00237707" w:rsidRPr="009A66BD" w:rsidRDefault="00B85C84" w:rsidP="00237707">
            <w:pPr>
              <w:spacing w:after="120" w:line="240" w:lineRule="auto"/>
              <w:ind w:firstLine="0"/>
              <w:jc w:val="left"/>
              <w:rPr>
                <w:rFonts w:asciiTheme="minorHAnsi" w:eastAsiaTheme="minorEastAsia" w:hAnsiTheme="minorHAnsi" w:cstheme="minorHAnsi"/>
                <w:i/>
                <w:lang w:val="sq-AL"/>
              </w:rPr>
            </w:pPr>
            <w:r w:rsidRPr="00B85C84">
              <w:rPr>
                <w:rFonts w:asciiTheme="minorHAnsi" w:eastAsiaTheme="minorEastAsia" w:hAnsiTheme="minorHAnsi" w:cstheme="minorHAnsi"/>
                <w:i/>
                <w:lang w:val="sq-AL"/>
              </w:rPr>
              <w:t xml:space="preserve">Inventari </w:t>
            </w:r>
            <w:r w:rsidR="006822F7">
              <w:rPr>
                <w:rFonts w:asciiTheme="minorHAnsi" w:eastAsiaTheme="minorEastAsia" w:hAnsiTheme="minorHAnsi" w:cstheme="minorHAnsi"/>
                <w:i/>
                <w:lang w:val="sq-AL"/>
              </w:rPr>
              <w:t>duhet</w:t>
            </w:r>
            <w:r w:rsidR="00C31D0C">
              <w:rPr>
                <w:rFonts w:asciiTheme="minorHAnsi" w:eastAsiaTheme="minorEastAsia" w:hAnsiTheme="minorHAnsi" w:cstheme="minorHAnsi"/>
                <w:i/>
                <w:lang w:val="sq-AL"/>
              </w:rPr>
              <w:t xml:space="preserve"> t</w:t>
            </w:r>
            <w:r w:rsidR="006822F7">
              <w:rPr>
                <w:rFonts w:asciiTheme="minorHAnsi" w:eastAsiaTheme="minorEastAsia" w:hAnsiTheme="minorHAnsi" w:cstheme="minorHAnsi"/>
                <w:i/>
                <w:lang w:val="sq-AL"/>
              </w:rPr>
              <w:t>ë</w:t>
            </w:r>
            <w:r w:rsidR="00C31D0C">
              <w:rPr>
                <w:rFonts w:asciiTheme="minorHAnsi" w:eastAsiaTheme="minorEastAsia" w:hAnsiTheme="minorHAnsi" w:cstheme="minorHAnsi"/>
                <w:i/>
                <w:lang w:val="sq-AL"/>
              </w:rPr>
              <w:t xml:space="preserve"> </w:t>
            </w:r>
            <w:r w:rsidRPr="00B85C84">
              <w:rPr>
                <w:rFonts w:asciiTheme="minorHAnsi" w:eastAsiaTheme="minorEastAsia" w:hAnsiTheme="minorHAnsi" w:cstheme="minorHAnsi"/>
                <w:i/>
                <w:lang w:val="sq-AL"/>
              </w:rPr>
              <w:t>syno</w:t>
            </w:r>
            <w:r w:rsidR="00C31D0C">
              <w:rPr>
                <w:rFonts w:asciiTheme="minorHAnsi" w:eastAsiaTheme="minorEastAsia" w:hAnsiTheme="minorHAnsi" w:cstheme="minorHAnsi"/>
                <w:i/>
                <w:lang w:val="sq-AL"/>
              </w:rPr>
              <w:t>j</w:t>
            </w:r>
            <w:r w:rsidR="006822F7">
              <w:rPr>
                <w:rFonts w:asciiTheme="minorHAnsi" w:eastAsiaTheme="minorEastAsia" w:hAnsiTheme="minorHAnsi" w:cstheme="minorHAnsi"/>
                <w:i/>
                <w:lang w:val="sq-AL"/>
              </w:rPr>
              <w:t>ë</w:t>
            </w:r>
            <w:r w:rsidRPr="00B85C84">
              <w:rPr>
                <w:rFonts w:asciiTheme="minorHAnsi" w:eastAsiaTheme="minorEastAsia" w:hAnsiTheme="minorHAnsi" w:cstheme="minorHAnsi"/>
                <w:i/>
                <w:lang w:val="sq-AL"/>
              </w:rPr>
              <w:t xml:space="preserve"> të përfshijë</w:t>
            </w:r>
            <w:r w:rsidR="4F83B13C" w:rsidRPr="009A66BD">
              <w:rPr>
                <w:rFonts w:asciiTheme="minorHAnsi" w:eastAsiaTheme="minorEastAsia" w:hAnsiTheme="minorHAnsi" w:cstheme="minorHAnsi"/>
                <w:i/>
                <w:lang w:val="sq-AL"/>
              </w:rPr>
              <w:t xml:space="preserve">: </w:t>
            </w:r>
          </w:p>
          <w:p w14:paraId="65A7807F" w14:textId="6FA325CE" w:rsidR="006B3DD7" w:rsidRPr="006B3DD7" w:rsidRDefault="006B3DD7" w:rsidP="006B3DD7">
            <w:pPr>
              <w:pStyle w:val="ListParagraph"/>
              <w:numPr>
                <w:ilvl w:val="0"/>
                <w:numId w:val="4"/>
              </w:numPr>
              <w:spacing w:after="120" w:line="240" w:lineRule="auto"/>
              <w:jc w:val="left"/>
              <w:rPr>
                <w:rFonts w:asciiTheme="minorHAnsi" w:hAnsiTheme="minorHAnsi" w:cstheme="minorHAnsi"/>
                <w:i/>
                <w:szCs w:val="20"/>
                <w:lang w:val="sq-AL"/>
              </w:rPr>
            </w:pPr>
            <w:r w:rsidRPr="006B3DD7">
              <w:rPr>
                <w:rFonts w:asciiTheme="minorHAnsi" w:eastAsiaTheme="minorEastAsia" w:hAnsiTheme="minorHAnsi" w:cstheme="minorHAnsi"/>
                <w:i/>
                <w:lang w:val="sq-AL"/>
              </w:rPr>
              <w:t xml:space="preserve">Kriteret e përshtatshmërisë </w:t>
            </w:r>
            <w:r w:rsidR="00C31D0C">
              <w:rPr>
                <w:rFonts w:asciiTheme="minorHAnsi" w:eastAsiaTheme="minorEastAsia" w:hAnsiTheme="minorHAnsi" w:cstheme="minorHAnsi"/>
                <w:i/>
                <w:lang w:val="sq-AL"/>
              </w:rPr>
              <w:t>(plot</w:t>
            </w:r>
            <w:r w:rsidR="006822F7">
              <w:rPr>
                <w:rFonts w:asciiTheme="minorHAnsi" w:eastAsiaTheme="minorEastAsia" w:hAnsiTheme="minorHAnsi" w:cstheme="minorHAnsi"/>
                <w:i/>
                <w:lang w:val="sq-AL"/>
              </w:rPr>
              <w:t>ë</w:t>
            </w:r>
            <w:r w:rsidR="00C31D0C">
              <w:rPr>
                <w:rFonts w:asciiTheme="minorHAnsi" w:eastAsiaTheme="minorEastAsia" w:hAnsiTheme="minorHAnsi" w:cstheme="minorHAnsi"/>
                <w:i/>
                <w:lang w:val="sq-AL"/>
              </w:rPr>
              <w:t>simit t</w:t>
            </w:r>
            <w:r w:rsidR="006822F7">
              <w:rPr>
                <w:rFonts w:asciiTheme="minorHAnsi" w:eastAsiaTheme="minorEastAsia" w:hAnsiTheme="minorHAnsi" w:cstheme="minorHAnsi"/>
                <w:i/>
                <w:lang w:val="sq-AL"/>
              </w:rPr>
              <w:t>ë</w:t>
            </w:r>
            <w:r w:rsidR="00C31D0C">
              <w:rPr>
                <w:rFonts w:asciiTheme="minorHAnsi" w:eastAsiaTheme="minorEastAsia" w:hAnsiTheme="minorHAnsi" w:cstheme="minorHAnsi"/>
                <w:i/>
                <w:lang w:val="sq-AL"/>
              </w:rPr>
              <w:t xml:space="preserve"> s</w:t>
            </w:r>
            <w:r w:rsidR="006822F7">
              <w:rPr>
                <w:rFonts w:asciiTheme="minorHAnsi" w:eastAsiaTheme="minorEastAsia" w:hAnsiTheme="minorHAnsi" w:cstheme="minorHAnsi"/>
                <w:i/>
                <w:lang w:val="sq-AL"/>
              </w:rPr>
              <w:t>ë</w:t>
            </w:r>
            <w:r w:rsidR="00C31D0C">
              <w:rPr>
                <w:rFonts w:asciiTheme="minorHAnsi" w:eastAsiaTheme="minorEastAsia" w:hAnsiTheme="minorHAnsi" w:cstheme="minorHAnsi"/>
                <w:i/>
                <w:lang w:val="sq-AL"/>
              </w:rPr>
              <w:t xml:space="preserve"> drejt</w:t>
            </w:r>
            <w:r w:rsidR="006822F7">
              <w:rPr>
                <w:rFonts w:asciiTheme="minorHAnsi" w:eastAsiaTheme="minorEastAsia" w:hAnsiTheme="minorHAnsi" w:cstheme="minorHAnsi"/>
                <w:i/>
                <w:lang w:val="sq-AL"/>
              </w:rPr>
              <w:t>ë</w:t>
            </w:r>
            <w:r w:rsidR="00C31D0C">
              <w:rPr>
                <w:rFonts w:asciiTheme="minorHAnsi" w:eastAsiaTheme="minorEastAsia" w:hAnsiTheme="minorHAnsi" w:cstheme="minorHAnsi"/>
                <w:i/>
                <w:lang w:val="sq-AL"/>
              </w:rPr>
              <w:t xml:space="preserve">s) </w:t>
            </w:r>
            <w:r w:rsidRPr="006B3DD7">
              <w:rPr>
                <w:rFonts w:asciiTheme="minorHAnsi" w:eastAsiaTheme="minorEastAsia" w:hAnsiTheme="minorHAnsi" w:cstheme="minorHAnsi"/>
                <w:i/>
                <w:lang w:val="sq-AL"/>
              </w:rPr>
              <w:t>për përfitimin nga stimujt</w:t>
            </w:r>
          </w:p>
          <w:p w14:paraId="5EF99022" w14:textId="72973201" w:rsidR="004D5674" w:rsidRPr="004D5674" w:rsidRDefault="004D5674" w:rsidP="004D5674">
            <w:pPr>
              <w:pStyle w:val="ListParagraph"/>
              <w:numPr>
                <w:ilvl w:val="0"/>
                <w:numId w:val="4"/>
              </w:numPr>
              <w:spacing w:after="120" w:line="240" w:lineRule="auto"/>
              <w:jc w:val="left"/>
              <w:rPr>
                <w:rFonts w:asciiTheme="minorHAnsi" w:hAnsiTheme="minorHAnsi" w:cstheme="minorHAnsi"/>
                <w:i/>
                <w:szCs w:val="20"/>
                <w:lang w:val="sq-AL"/>
              </w:rPr>
            </w:pPr>
            <w:r w:rsidRPr="004D5674">
              <w:rPr>
                <w:rFonts w:asciiTheme="minorHAnsi" w:eastAsiaTheme="minorEastAsia" w:hAnsiTheme="minorHAnsi" w:cstheme="minorHAnsi"/>
                <w:i/>
                <w:lang w:val="sq-AL"/>
              </w:rPr>
              <w:t xml:space="preserve">Procedurat për të pranuar stimuj (dokumentet që </w:t>
            </w:r>
            <w:r w:rsidR="00304380">
              <w:rPr>
                <w:rFonts w:asciiTheme="minorHAnsi" w:eastAsiaTheme="minorEastAsia" w:hAnsiTheme="minorHAnsi" w:cstheme="minorHAnsi"/>
                <w:i/>
                <w:lang w:val="sq-AL"/>
              </w:rPr>
              <w:t>duhet plot</w:t>
            </w:r>
            <w:r w:rsidR="006822F7">
              <w:rPr>
                <w:rFonts w:asciiTheme="minorHAnsi" w:eastAsiaTheme="minorEastAsia" w:hAnsiTheme="minorHAnsi" w:cstheme="minorHAnsi"/>
                <w:i/>
                <w:lang w:val="sq-AL"/>
              </w:rPr>
              <w:t>ë</w:t>
            </w:r>
            <w:r w:rsidR="00304380">
              <w:rPr>
                <w:rFonts w:asciiTheme="minorHAnsi" w:eastAsiaTheme="minorEastAsia" w:hAnsiTheme="minorHAnsi" w:cstheme="minorHAnsi"/>
                <w:i/>
                <w:lang w:val="sq-AL"/>
              </w:rPr>
              <w:t>suar</w:t>
            </w:r>
            <w:r w:rsidRPr="004D5674">
              <w:rPr>
                <w:rFonts w:asciiTheme="minorHAnsi" w:eastAsiaTheme="minorEastAsia" w:hAnsiTheme="minorHAnsi" w:cstheme="minorHAnsi"/>
                <w:i/>
                <w:lang w:val="sq-AL"/>
              </w:rPr>
              <w:t xml:space="preserve">, regjistrimi i biznesit, </w:t>
            </w:r>
            <w:r w:rsidR="00304380">
              <w:rPr>
                <w:rFonts w:asciiTheme="minorHAnsi" w:eastAsiaTheme="minorEastAsia" w:hAnsiTheme="minorHAnsi" w:cstheme="minorHAnsi"/>
                <w:i/>
                <w:lang w:val="sq-AL"/>
              </w:rPr>
              <w:t>certifikatat q</w:t>
            </w:r>
            <w:r w:rsidR="006822F7">
              <w:rPr>
                <w:rFonts w:asciiTheme="minorHAnsi" w:eastAsiaTheme="minorEastAsia" w:hAnsiTheme="minorHAnsi" w:cstheme="minorHAnsi"/>
                <w:i/>
                <w:lang w:val="sq-AL"/>
              </w:rPr>
              <w:t>ë</w:t>
            </w:r>
            <w:r w:rsidR="00304380">
              <w:rPr>
                <w:rFonts w:asciiTheme="minorHAnsi" w:eastAsiaTheme="minorEastAsia" w:hAnsiTheme="minorHAnsi" w:cstheme="minorHAnsi"/>
                <w:i/>
                <w:lang w:val="sq-AL"/>
              </w:rPr>
              <w:t xml:space="preserve"> duhet marr</w:t>
            </w:r>
            <w:r w:rsidR="006822F7">
              <w:rPr>
                <w:rFonts w:asciiTheme="minorHAnsi" w:eastAsiaTheme="minorEastAsia" w:hAnsiTheme="minorHAnsi" w:cstheme="minorHAnsi"/>
                <w:i/>
                <w:lang w:val="sq-AL"/>
              </w:rPr>
              <w:t>ë</w:t>
            </w:r>
            <w:r w:rsidRPr="004D5674">
              <w:rPr>
                <w:rFonts w:asciiTheme="minorHAnsi" w:eastAsiaTheme="minorEastAsia" w:hAnsiTheme="minorHAnsi" w:cstheme="minorHAnsi"/>
                <w:i/>
                <w:lang w:val="sq-AL"/>
              </w:rPr>
              <w:t>, etj</w:t>
            </w:r>
            <w:r>
              <w:rPr>
                <w:rFonts w:asciiTheme="minorHAnsi" w:eastAsiaTheme="minorEastAsia" w:hAnsiTheme="minorHAnsi" w:cstheme="minorHAnsi"/>
                <w:i/>
                <w:lang w:val="sq-AL"/>
              </w:rPr>
              <w:t>.</w:t>
            </w:r>
            <w:r w:rsidRPr="004D5674">
              <w:rPr>
                <w:rFonts w:asciiTheme="minorHAnsi" w:eastAsiaTheme="minorEastAsia" w:hAnsiTheme="minorHAnsi" w:cstheme="minorHAnsi"/>
                <w:i/>
                <w:lang w:val="sq-AL"/>
              </w:rPr>
              <w:t>)</w:t>
            </w:r>
          </w:p>
          <w:p w14:paraId="62E45385" w14:textId="1775A3B0" w:rsidR="00292C69" w:rsidRPr="00292C69" w:rsidRDefault="00292C69" w:rsidP="00292C69">
            <w:pPr>
              <w:pStyle w:val="ListParagraph"/>
              <w:numPr>
                <w:ilvl w:val="0"/>
                <w:numId w:val="4"/>
              </w:numPr>
              <w:spacing w:after="120" w:line="240" w:lineRule="auto"/>
              <w:jc w:val="left"/>
              <w:rPr>
                <w:rFonts w:asciiTheme="minorHAnsi" w:hAnsiTheme="minorHAnsi" w:cstheme="minorHAnsi"/>
                <w:i/>
                <w:szCs w:val="20"/>
                <w:lang w:val="sq-AL"/>
              </w:rPr>
            </w:pPr>
            <w:r w:rsidRPr="00292C69">
              <w:rPr>
                <w:rFonts w:asciiTheme="minorHAnsi" w:eastAsiaTheme="minorEastAsia" w:hAnsiTheme="minorHAnsi" w:cstheme="minorHAnsi"/>
                <w:i/>
                <w:lang w:val="sq-AL"/>
              </w:rPr>
              <w:t>Lidhj</w:t>
            </w:r>
            <w:r w:rsidR="00304380">
              <w:rPr>
                <w:rFonts w:asciiTheme="minorHAnsi" w:eastAsiaTheme="minorEastAsia" w:hAnsiTheme="minorHAnsi" w:cstheme="minorHAnsi"/>
                <w:i/>
                <w:lang w:val="sq-AL"/>
              </w:rPr>
              <w:t>a</w:t>
            </w:r>
            <w:r w:rsidRPr="00292C69">
              <w:rPr>
                <w:rFonts w:asciiTheme="minorHAnsi" w:eastAsiaTheme="minorEastAsia" w:hAnsiTheme="minorHAnsi" w:cstheme="minorHAnsi"/>
                <w:i/>
                <w:lang w:val="sq-AL"/>
              </w:rPr>
              <w:t xml:space="preserve"> me ligjin përkatës</w:t>
            </w:r>
          </w:p>
          <w:p w14:paraId="1CA379FD" w14:textId="20E0D5AC" w:rsidR="006D0E53" w:rsidRPr="009A66BD" w:rsidRDefault="00557824" w:rsidP="00304380">
            <w:pPr>
              <w:pStyle w:val="ListParagraph"/>
              <w:numPr>
                <w:ilvl w:val="0"/>
                <w:numId w:val="4"/>
              </w:numPr>
              <w:spacing w:after="120" w:line="240" w:lineRule="auto"/>
              <w:jc w:val="left"/>
              <w:rPr>
                <w:rFonts w:asciiTheme="minorHAnsi" w:hAnsiTheme="minorHAnsi" w:cstheme="minorHAnsi"/>
                <w:i/>
                <w:szCs w:val="20"/>
                <w:lang w:val="sq-AL"/>
              </w:rPr>
            </w:pPr>
            <w:r w:rsidRPr="00557824">
              <w:rPr>
                <w:rFonts w:asciiTheme="minorHAnsi" w:eastAsiaTheme="minorEastAsia" w:hAnsiTheme="minorHAnsi" w:cstheme="minorHAnsi"/>
                <w:i/>
                <w:lang w:val="sq-AL"/>
              </w:rPr>
              <w:t xml:space="preserve">Identifikimi i agjencisë zbatuese dhe </w:t>
            </w:r>
            <w:r w:rsidRPr="00557824">
              <w:rPr>
                <w:rFonts w:asciiTheme="minorHAnsi" w:eastAsiaTheme="minorEastAsia" w:hAnsiTheme="minorHAnsi" w:cstheme="minorHAnsi"/>
                <w:i/>
                <w:lang w:val="sq-AL"/>
              </w:rPr>
              <w:lastRenderedPageBreak/>
              <w:t>informacione</w:t>
            </w:r>
            <w:r w:rsidR="00304380">
              <w:rPr>
                <w:rFonts w:asciiTheme="minorHAnsi" w:eastAsiaTheme="minorEastAsia" w:hAnsiTheme="minorHAnsi" w:cstheme="minorHAnsi"/>
                <w:i/>
                <w:lang w:val="sq-AL"/>
              </w:rPr>
              <w:t>t</w:t>
            </w:r>
            <w:r w:rsidRPr="00557824">
              <w:rPr>
                <w:rFonts w:asciiTheme="minorHAnsi" w:eastAsiaTheme="minorEastAsia" w:hAnsiTheme="minorHAnsi" w:cstheme="minorHAnsi"/>
                <w:i/>
                <w:lang w:val="sq-AL"/>
              </w:rPr>
              <w:t xml:space="preserve"> kontaktuese</w:t>
            </w:r>
          </w:p>
        </w:tc>
      </w:tr>
      <w:tr w:rsidR="006D0E53" w:rsidRPr="00612497" w14:paraId="17B59FAE" w14:textId="77777777" w:rsidTr="00D43D3C">
        <w:trPr>
          <w:trHeight w:val="1015"/>
        </w:trPr>
        <w:tc>
          <w:tcPr>
            <w:tcW w:w="2335" w:type="dxa"/>
            <w:vMerge/>
          </w:tcPr>
          <w:p w14:paraId="778F22B0" w14:textId="77777777" w:rsidR="006D0E53" w:rsidRPr="009A66BD" w:rsidRDefault="006D0E53" w:rsidP="006D0E53">
            <w:pPr>
              <w:spacing w:after="120" w:line="240" w:lineRule="auto"/>
              <w:ind w:firstLine="0"/>
              <w:jc w:val="left"/>
              <w:rPr>
                <w:rFonts w:asciiTheme="minorHAnsi" w:eastAsiaTheme="minorHAnsi" w:hAnsiTheme="minorHAnsi" w:cstheme="minorHAnsi"/>
                <w:szCs w:val="20"/>
                <w:lang w:val="sq-AL"/>
              </w:rPr>
            </w:pPr>
          </w:p>
        </w:tc>
        <w:tc>
          <w:tcPr>
            <w:tcW w:w="2610" w:type="dxa"/>
          </w:tcPr>
          <w:p w14:paraId="0C1E0979" w14:textId="1DD3A928" w:rsidR="006D0E53" w:rsidRPr="009A66BD" w:rsidRDefault="006D0E53" w:rsidP="00892D66">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6.2.2 </w:t>
            </w:r>
            <w:proofErr w:type="spellStart"/>
            <w:r w:rsidR="00443153" w:rsidRPr="00443153">
              <w:rPr>
                <w:rFonts w:asciiTheme="minorHAnsi" w:eastAsiaTheme="minorEastAsia" w:hAnsiTheme="minorHAnsi" w:cstheme="minorHAnsi"/>
                <w:szCs w:val="20"/>
                <w:lang w:val="sq-AL"/>
              </w:rPr>
              <w:t>Validimi</w:t>
            </w:r>
            <w:proofErr w:type="spellEnd"/>
            <w:r w:rsidR="00443153" w:rsidRPr="00443153">
              <w:rPr>
                <w:rFonts w:asciiTheme="minorHAnsi" w:eastAsiaTheme="minorEastAsia" w:hAnsiTheme="minorHAnsi" w:cstheme="minorHAnsi"/>
                <w:szCs w:val="20"/>
                <w:lang w:val="sq-AL"/>
              </w:rPr>
              <w:t xml:space="preserve"> i inventarit me palë</w:t>
            </w:r>
            <w:r w:rsidR="00892D66">
              <w:rPr>
                <w:rFonts w:asciiTheme="minorHAnsi" w:eastAsiaTheme="minorEastAsia" w:hAnsiTheme="minorHAnsi" w:cstheme="minorHAnsi"/>
                <w:szCs w:val="20"/>
                <w:lang w:val="sq-AL"/>
              </w:rPr>
              <w:t>t relevante</w:t>
            </w:r>
            <w:r w:rsidR="00443153" w:rsidRPr="00443153">
              <w:rPr>
                <w:rFonts w:asciiTheme="minorHAnsi" w:eastAsiaTheme="minorEastAsia" w:hAnsiTheme="minorHAnsi" w:cstheme="minorHAnsi"/>
                <w:szCs w:val="20"/>
                <w:lang w:val="sq-AL"/>
              </w:rPr>
              <w:t xml:space="preserve"> të interesuara dhe publikimi në </w:t>
            </w:r>
            <w:r w:rsidR="00892D66">
              <w:rPr>
                <w:rFonts w:asciiTheme="minorHAnsi" w:eastAsiaTheme="minorEastAsia" w:hAnsiTheme="minorHAnsi" w:cstheme="minorHAnsi"/>
                <w:szCs w:val="20"/>
                <w:lang w:val="sq-AL"/>
              </w:rPr>
              <w:t>nj</w:t>
            </w:r>
            <w:r w:rsidR="006822F7">
              <w:rPr>
                <w:rFonts w:asciiTheme="minorHAnsi" w:eastAsiaTheme="minorEastAsia" w:hAnsiTheme="minorHAnsi" w:cstheme="minorHAnsi"/>
                <w:szCs w:val="20"/>
                <w:lang w:val="sq-AL"/>
              </w:rPr>
              <w:t>ë</w:t>
            </w:r>
            <w:r w:rsidR="00892D66">
              <w:rPr>
                <w:rFonts w:asciiTheme="minorHAnsi" w:eastAsiaTheme="minorEastAsia" w:hAnsiTheme="minorHAnsi" w:cstheme="minorHAnsi"/>
                <w:szCs w:val="20"/>
                <w:lang w:val="sq-AL"/>
              </w:rPr>
              <w:t xml:space="preserve"> format q</w:t>
            </w:r>
            <w:r w:rsidR="006822F7">
              <w:rPr>
                <w:rFonts w:asciiTheme="minorHAnsi" w:eastAsiaTheme="minorEastAsia" w:hAnsiTheme="minorHAnsi" w:cstheme="minorHAnsi"/>
                <w:szCs w:val="20"/>
                <w:lang w:val="sq-AL"/>
              </w:rPr>
              <w:t>ë</w:t>
            </w:r>
            <w:r w:rsidR="00892D66">
              <w:rPr>
                <w:rFonts w:asciiTheme="minorHAnsi" w:eastAsiaTheme="minorEastAsia" w:hAnsiTheme="minorHAnsi" w:cstheme="minorHAnsi"/>
                <w:szCs w:val="20"/>
                <w:lang w:val="sq-AL"/>
              </w:rPr>
              <w:t xml:space="preserve"> </w:t>
            </w:r>
            <w:r w:rsidR="006822F7">
              <w:rPr>
                <w:rFonts w:asciiTheme="minorHAnsi" w:eastAsiaTheme="minorEastAsia" w:hAnsiTheme="minorHAnsi" w:cstheme="minorHAnsi"/>
                <w:szCs w:val="20"/>
                <w:lang w:val="sq-AL"/>
              </w:rPr>
              <w:t>ë</w:t>
            </w:r>
            <w:r w:rsidR="00892D66">
              <w:rPr>
                <w:rFonts w:asciiTheme="minorHAnsi" w:eastAsiaTheme="minorEastAsia" w:hAnsiTheme="minorHAnsi" w:cstheme="minorHAnsi"/>
                <w:szCs w:val="20"/>
                <w:lang w:val="sq-AL"/>
              </w:rPr>
              <w:t>sht</w:t>
            </w:r>
            <w:r w:rsidR="006822F7">
              <w:rPr>
                <w:rFonts w:asciiTheme="minorHAnsi" w:eastAsiaTheme="minorEastAsia" w:hAnsiTheme="minorHAnsi" w:cstheme="minorHAnsi"/>
                <w:szCs w:val="20"/>
                <w:lang w:val="sq-AL"/>
              </w:rPr>
              <w:t>ë</w:t>
            </w:r>
            <w:r w:rsidR="00892D66">
              <w:rPr>
                <w:rFonts w:asciiTheme="minorHAnsi" w:eastAsiaTheme="minorEastAsia" w:hAnsiTheme="minorHAnsi" w:cstheme="minorHAnsi"/>
                <w:szCs w:val="20"/>
                <w:lang w:val="sq-AL"/>
              </w:rPr>
              <w:t xml:space="preserve"> miq</w:t>
            </w:r>
            <w:r w:rsidR="006822F7">
              <w:rPr>
                <w:rFonts w:asciiTheme="minorHAnsi" w:eastAsiaTheme="minorEastAsia" w:hAnsiTheme="minorHAnsi" w:cstheme="minorHAnsi"/>
                <w:szCs w:val="20"/>
                <w:lang w:val="sq-AL"/>
              </w:rPr>
              <w:t>ë</w:t>
            </w:r>
            <w:r w:rsidR="00892D66">
              <w:rPr>
                <w:rFonts w:asciiTheme="minorHAnsi" w:eastAsiaTheme="minorEastAsia" w:hAnsiTheme="minorHAnsi" w:cstheme="minorHAnsi"/>
                <w:szCs w:val="20"/>
                <w:lang w:val="sq-AL"/>
              </w:rPr>
              <w:t>sor ndaj p</w:t>
            </w:r>
            <w:r w:rsidR="006822F7">
              <w:rPr>
                <w:rFonts w:asciiTheme="minorHAnsi" w:eastAsiaTheme="minorEastAsia" w:hAnsiTheme="minorHAnsi" w:cstheme="minorHAnsi"/>
                <w:szCs w:val="20"/>
                <w:lang w:val="sq-AL"/>
              </w:rPr>
              <w:t>ë</w:t>
            </w:r>
            <w:r w:rsidR="00892D66">
              <w:rPr>
                <w:rFonts w:asciiTheme="minorHAnsi" w:eastAsiaTheme="minorEastAsia" w:hAnsiTheme="minorHAnsi" w:cstheme="minorHAnsi"/>
                <w:szCs w:val="20"/>
                <w:lang w:val="sq-AL"/>
              </w:rPr>
              <w:t>rdoruesit</w:t>
            </w:r>
          </w:p>
        </w:tc>
        <w:tc>
          <w:tcPr>
            <w:tcW w:w="900" w:type="dxa"/>
          </w:tcPr>
          <w:p w14:paraId="775E0DB1" w14:textId="60390288" w:rsidR="006D0E53" w:rsidRPr="009A66BD" w:rsidRDefault="0066150C" w:rsidP="3A25C5E1">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Dhjetor </w:t>
            </w:r>
            <w:r w:rsidR="3A25C5E1" w:rsidRPr="009A66BD">
              <w:rPr>
                <w:rFonts w:asciiTheme="minorHAnsi" w:eastAsiaTheme="minorEastAsia" w:hAnsiTheme="minorHAnsi" w:cstheme="minorHAnsi"/>
                <w:lang w:val="sq-AL"/>
              </w:rPr>
              <w:t>2019</w:t>
            </w:r>
          </w:p>
        </w:tc>
        <w:tc>
          <w:tcPr>
            <w:tcW w:w="1260" w:type="dxa"/>
          </w:tcPr>
          <w:p w14:paraId="6E403BFB" w14:textId="785FB6D1" w:rsidR="006D0E53" w:rsidRPr="009A66BD" w:rsidRDefault="005B2877" w:rsidP="3A25C5E1">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KIESA*</w:t>
            </w:r>
          </w:p>
        </w:tc>
        <w:tc>
          <w:tcPr>
            <w:tcW w:w="1980" w:type="dxa"/>
          </w:tcPr>
          <w:p w14:paraId="775E6775" w14:textId="2E3463E2" w:rsidR="006D0E53" w:rsidRPr="009A66BD" w:rsidRDefault="00B02472" w:rsidP="00C31D0C">
            <w:pPr>
              <w:spacing w:after="120" w:line="240" w:lineRule="auto"/>
              <w:ind w:firstLine="0"/>
              <w:jc w:val="left"/>
              <w:rPr>
                <w:rFonts w:asciiTheme="minorHAnsi" w:eastAsiaTheme="minorEastAsia" w:hAnsiTheme="minorHAnsi" w:cstheme="minorHAnsi"/>
                <w:lang w:val="sq-AL"/>
              </w:rPr>
            </w:pPr>
            <w:r w:rsidRPr="00B02472">
              <w:rPr>
                <w:rFonts w:asciiTheme="minorHAnsi" w:eastAsiaTheme="minorEastAsia" w:hAnsiTheme="minorHAnsi" w:cstheme="minorBidi"/>
                <w:szCs w:val="20"/>
                <w:lang w:val="sq-AL"/>
              </w:rPr>
              <w:t xml:space="preserve">Inventari i kompletuar dhe i </w:t>
            </w:r>
            <w:proofErr w:type="spellStart"/>
            <w:r w:rsidRPr="00B02472">
              <w:rPr>
                <w:rFonts w:asciiTheme="minorHAnsi" w:eastAsiaTheme="minorEastAsia" w:hAnsiTheme="minorHAnsi" w:cstheme="minorBidi"/>
                <w:szCs w:val="20"/>
                <w:lang w:val="sq-AL"/>
              </w:rPr>
              <w:t>v</w:t>
            </w:r>
            <w:r w:rsidR="00892D66">
              <w:rPr>
                <w:rFonts w:asciiTheme="minorHAnsi" w:eastAsiaTheme="minorEastAsia" w:hAnsiTheme="minorHAnsi" w:cstheme="minorBidi"/>
                <w:szCs w:val="20"/>
                <w:lang w:val="sq-AL"/>
              </w:rPr>
              <w:t>aliduar</w:t>
            </w:r>
            <w:proofErr w:type="spellEnd"/>
            <w:r w:rsidRPr="00B02472">
              <w:rPr>
                <w:rFonts w:asciiTheme="minorHAnsi" w:eastAsiaTheme="minorEastAsia" w:hAnsiTheme="minorHAnsi" w:cstheme="minorBidi"/>
                <w:szCs w:val="20"/>
                <w:lang w:val="sq-AL"/>
              </w:rPr>
              <w:t xml:space="preserve"> i stimujve publikohet në një </w:t>
            </w:r>
            <w:proofErr w:type="spellStart"/>
            <w:r w:rsidRPr="00B02472">
              <w:rPr>
                <w:rFonts w:asciiTheme="minorHAnsi" w:eastAsiaTheme="minorEastAsia" w:hAnsiTheme="minorHAnsi" w:cstheme="minorBidi"/>
                <w:szCs w:val="20"/>
                <w:lang w:val="sq-AL"/>
              </w:rPr>
              <w:t>uebfaqe</w:t>
            </w:r>
            <w:proofErr w:type="spellEnd"/>
            <w:r w:rsidRPr="00B02472">
              <w:rPr>
                <w:rFonts w:asciiTheme="minorHAnsi" w:eastAsiaTheme="minorEastAsia" w:hAnsiTheme="minorHAnsi" w:cstheme="minorBidi"/>
                <w:szCs w:val="20"/>
                <w:lang w:val="sq-AL"/>
              </w:rPr>
              <w:t xml:space="preserve"> të vetme, gazetë zyrtare ose publikim</w:t>
            </w:r>
            <w:r w:rsidR="00C31D0C">
              <w:rPr>
                <w:rFonts w:asciiTheme="minorHAnsi" w:eastAsiaTheme="minorEastAsia" w:hAnsiTheme="minorHAnsi" w:cstheme="minorBidi"/>
                <w:szCs w:val="20"/>
                <w:lang w:val="sq-AL"/>
              </w:rPr>
              <w:t xml:space="preserve"> tjet</w:t>
            </w:r>
            <w:r w:rsidR="006822F7">
              <w:rPr>
                <w:rFonts w:asciiTheme="minorHAnsi" w:eastAsiaTheme="minorEastAsia" w:hAnsiTheme="minorHAnsi" w:cstheme="minorBidi"/>
                <w:szCs w:val="20"/>
                <w:lang w:val="sq-AL"/>
              </w:rPr>
              <w:t>ë</w:t>
            </w:r>
            <w:r w:rsidR="00C31D0C">
              <w:rPr>
                <w:rFonts w:asciiTheme="minorHAnsi" w:eastAsiaTheme="minorEastAsia" w:hAnsiTheme="minorHAnsi" w:cstheme="minorBidi"/>
                <w:szCs w:val="20"/>
                <w:lang w:val="sq-AL"/>
              </w:rPr>
              <w:t>r t</w:t>
            </w:r>
            <w:r w:rsidR="006822F7">
              <w:rPr>
                <w:rFonts w:asciiTheme="minorHAnsi" w:eastAsiaTheme="minorEastAsia" w:hAnsiTheme="minorHAnsi" w:cstheme="minorBidi"/>
                <w:szCs w:val="20"/>
                <w:lang w:val="sq-AL"/>
              </w:rPr>
              <w:t>ë</w:t>
            </w:r>
            <w:r w:rsidR="00C31D0C">
              <w:rPr>
                <w:rFonts w:asciiTheme="minorHAnsi" w:eastAsiaTheme="minorEastAsia" w:hAnsiTheme="minorHAnsi" w:cstheme="minorBidi"/>
                <w:szCs w:val="20"/>
                <w:lang w:val="sq-AL"/>
              </w:rPr>
              <w:t xml:space="preserve"> </w:t>
            </w:r>
            <w:r w:rsidRPr="00B02472">
              <w:rPr>
                <w:rFonts w:asciiTheme="minorHAnsi" w:eastAsiaTheme="minorEastAsia" w:hAnsiTheme="minorHAnsi" w:cstheme="minorBidi"/>
                <w:szCs w:val="20"/>
                <w:lang w:val="sq-AL"/>
              </w:rPr>
              <w:t xml:space="preserve"> ministrisë</w:t>
            </w:r>
            <w:r w:rsidR="00C31D0C">
              <w:rPr>
                <w:rFonts w:asciiTheme="minorHAnsi" w:eastAsiaTheme="minorEastAsia" w:hAnsiTheme="minorHAnsi" w:cstheme="minorBidi"/>
                <w:szCs w:val="20"/>
                <w:lang w:val="sq-AL"/>
              </w:rPr>
              <w:t xml:space="preserve"> p</w:t>
            </w:r>
            <w:r w:rsidR="006822F7">
              <w:rPr>
                <w:rFonts w:asciiTheme="minorHAnsi" w:eastAsiaTheme="minorEastAsia" w:hAnsiTheme="minorHAnsi" w:cstheme="minorBidi"/>
                <w:szCs w:val="20"/>
                <w:lang w:val="sq-AL"/>
              </w:rPr>
              <w:t>ë</w:t>
            </w:r>
            <w:r w:rsidR="00C31D0C">
              <w:rPr>
                <w:rFonts w:asciiTheme="minorHAnsi" w:eastAsiaTheme="minorEastAsia" w:hAnsiTheme="minorHAnsi" w:cstheme="minorBidi"/>
                <w:szCs w:val="20"/>
                <w:lang w:val="sq-AL"/>
              </w:rPr>
              <w:t>rkat</w:t>
            </w:r>
            <w:r w:rsidR="006822F7">
              <w:rPr>
                <w:rFonts w:asciiTheme="minorHAnsi" w:eastAsiaTheme="minorEastAsia" w:hAnsiTheme="minorHAnsi" w:cstheme="minorBidi"/>
                <w:szCs w:val="20"/>
                <w:lang w:val="sq-AL"/>
              </w:rPr>
              <w:t>ë</w:t>
            </w:r>
            <w:r w:rsidR="00C31D0C">
              <w:rPr>
                <w:rFonts w:asciiTheme="minorHAnsi" w:eastAsiaTheme="minorEastAsia" w:hAnsiTheme="minorHAnsi" w:cstheme="minorBidi"/>
                <w:szCs w:val="20"/>
                <w:lang w:val="sq-AL"/>
              </w:rPr>
              <w:t>se</w:t>
            </w:r>
            <w:r w:rsidR="00F7287F" w:rsidRPr="009A66BD">
              <w:rPr>
                <w:rFonts w:asciiTheme="minorHAnsi" w:eastAsiaTheme="minorEastAsia" w:hAnsiTheme="minorHAnsi" w:cstheme="minorBidi"/>
                <w:szCs w:val="20"/>
                <w:lang w:val="sq-AL"/>
              </w:rPr>
              <w:t>.</w:t>
            </w:r>
          </w:p>
        </w:tc>
        <w:tc>
          <w:tcPr>
            <w:tcW w:w="1080" w:type="dxa"/>
          </w:tcPr>
          <w:p w14:paraId="40B342D9" w14:textId="4FF00E90" w:rsidR="006D0E53" w:rsidRPr="009A66BD" w:rsidRDefault="008D5E84" w:rsidP="3A25C5E1">
            <w:pPr>
              <w:spacing w:after="120" w:line="240" w:lineRule="auto"/>
              <w:ind w:firstLine="0"/>
              <w:jc w:val="left"/>
              <w:rPr>
                <w:rFonts w:asciiTheme="minorHAnsi" w:eastAsiaTheme="minorEastAsia" w:hAnsiTheme="minorHAnsi" w:cstheme="minorHAnsi"/>
                <w:lang w:val="sq-AL"/>
              </w:rPr>
            </w:pPr>
            <w:r>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38184FAE" w14:textId="72D76476" w:rsidR="006D0E53" w:rsidRPr="009A66BD" w:rsidRDefault="00FA1F3E" w:rsidP="00304380">
            <w:pPr>
              <w:spacing w:after="120" w:line="240" w:lineRule="auto"/>
              <w:ind w:firstLine="0"/>
              <w:jc w:val="left"/>
              <w:rPr>
                <w:rFonts w:asciiTheme="minorHAnsi" w:eastAsiaTheme="minorEastAsia" w:hAnsiTheme="minorHAnsi" w:cstheme="minorHAnsi"/>
                <w:i/>
                <w:lang w:val="sq-AL"/>
              </w:rPr>
            </w:pPr>
            <w:r w:rsidRPr="00FA1F3E">
              <w:rPr>
                <w:rFonts w:asciiTheme="minorHAnsi" w:eastAsiaTheme="minorEastAsia" w:hAnsiTheme="minorHAnsi" w:cstheme="minorHAnsi"/>
                <w:i/>
                <w:lang w:val="sq-AL"/>
              </w:rPr>
              <w:t xml:space="preserve">Inventari duhet të publikohet në gjuhën shqipe, serbe, angleze dhe çdo gjuhë tjetër </w:t>
            </w:r>
            <w:r w:rsidR="00304380">
              <w:rPr>
                <w:rFonts w:asciiTheme="minorHAnsi" w:eastAsiaTheme="minorEastAsia" w:hAnsiTheme="minorHAnsi" w:cstheme="minorHAnsi"/>
                <w:i/>
                <w:lang w:val="sq-AL"/>
              </w:rPr>
              <w:t xml:space="preserve">relevante </w:t>
            </w:r>
            <w:r w:rsidRPr="00FA1F3E">
              <w:rPr>
                <w:rFonts w:asciiTheme="minorHAnsi" w:eastAsiaTheme="minorEastAsia" w:hAnsiTheme="minorHAnsi" w:cstheme="minorHAnsi"/>
                <w:i/>
                <w:lang w:val="sq-AL"/>
              </w:rPr>
              <w:t xml:space="preserve"> për investitorët.</w:t>
            </w:r>
          </w:p>
        </w:tc>
      </w:tr>
      <w:tr w:rsidR="008671EF" w:rsidRPr="009A66BD" w14:paraId="0BCB49E2"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2DBB850B" w14:textId="77777777" w:rsidR="008671EF" w:rsidRPr="009A66BD" w:rsidRDefault="008671EF" w:rsidP="008671EF">
            <w:pPr>
              <w:spacing w:after="120" w:line="240" w:lineRule="auto"/>
              <w:ind w:firstLine="0"/>
              <w:jc w:val="left"/>
              <w:rPr>
                <w:rFonts w:asciiTheme="minorHAnsi" w:eastAsiaTheme="minorHAnsi" w:hAnsiTheme="minorHAnsi" w:cstheme="minorHAnsi"/>
                <w:szCs w:val="20"/>
                <w:lang w:val="sq-AL"/>
              </w:rPr>
            </w:pPr>
          </w:p>
        </w:tc>
        <w:tc>
          <w:tcPr>
            <w:tcW w:w="2610" w:type="dxa"/>
          </w:tcPr>
          <w:p w14:paraId="2DFCFF78" w14:textId="38A96676" w:rsidR="008671EF" w:rsidRPr="009A66BD" w:rsidRDefault="008671EF" w:rsidP="008671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6.2.3 </w:t>
            </w:r>
            <w:r w:rsidR="00F7765E" w:rsidRPr="00F7765E">
              <w:rPr>
                <w:rFonts w:asciiTheme="minorHAnsi" w:eastAsiaTheme="minorEastAsia" w:hAnsiTheme="minorHAnsi" w:cstheme="minorHAnsi"/>
                <w:szCs w:val="20"/>
                <w:lang w:val="sq-AL"/>
              </w:rPr>
              <w:t xml:space="preserve">Institucionalizimi i procesit të </w:t>
            </w:r>
            <w:r w:rsidR="00304380">
              <w:rPr>
                <w:rFonts w:asciiTheme="minorHAnsi" w:eastAsiaTheme="minorEastAsia" w:hAnsiTheme="minorHAnsi" w:cstheme="minorHAnsi"/>
                <w:szCs w:val="20"/>
                <w:lang w:val="sq-AL"/>
              </w:rPr>
              <w:t>mir</w:t>
            </w:r>
            <w:r w:rsidR="006822F7">
              <w:rPr>
                <w:rFonts w:asciiTheme="minorHAnsi" w:eastAsiaTheme="minorEastAsia" w:hAnsiTheme="minorHAnsi" w:cstheme="minorHAnsi"/>
                <w:szCs w:val="20"/>
                <w:lang w:val="sq-AL"/>
              </w:rPr>
              <w:t>ë</w:t>
            </w:r>
            <w:r w:rsidR="00F7765E" w:rsidRPr="00F7765E">
              <w:rPr>
                <w:rFonts w:asciiTheme="minorHAnsi" w:eastAsiaTheme="minorEastAsia" w:hAnsiTheme="minorHAnsi" w:cstheme="minorHAnsi"/>
                <w:szCs w:val="20"/>
                <w:lang w:val="sq-AL"/>
              </w:rPr>
              <w:t>mbajtjes s</w:t>
            </w:r>
            <w:r w:rsidR="00F7765E">
              <w:rPr>
                <w:rFonts w:asciiTheme="minorHAnsi" w:eastAsiaTheme="minorEastAsia" w:hAnsiTheme="minorHAnsi" w:cstheme="minorHAnsi"/>
                <w:szCs w:val="20"/>
                <w:lang w:val="sq-AL"/>
              </w:rPr>
              <w:t>ë inventarit të stimujve publik</w:t>
            </w:r>
          </w:p>
        </w:tc>
        <w:tc>
          <w:tcPr>
            <w:tcW w:w="900" w:type="dxa"/>
          </w:tcPr>
          <w:p w14:paraId="5DE15E82" w14:textId="7B7E2889"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Dhjetor</w:t>
            </w:r>
            <w:r w:rsidR="008671EF" w:rsidRPr="009A66BD">
              <w:rPr>
                <w:rFonts w:asciiTheme="minorHAnsi" w:eastAsiaTheme="minorEastAsia" w:hAnsiTheme="minorHAnsi" w:cstheme="minorHAnsi"/>
                <w:lang w:val="sq-AL"/>
              </w:rPr>
              <w:t xml:space="preserve"> 2019</w:t>
            </w:r>
          </w:p>
        </w:tc>
        <w:tc>
          <w:tcPr>
            <w:tcW w:w="1260" w:type="dxa"/>
          </w:tcPr>
          <w:p w14:paraId="29F378BF" w14:textId="0D56C397" w:rsidR="008671EF" w:rsidRPr="009A66BD" w:rsidRDefault="0063032B"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Tregtisë dhe Industrisë</w:t>
            </w:r>
            <w:r w:rsidR="008671EF" w:rsidRPr="009A66BD">
              <w:rPr>
                <w:rFonts w:asciiTheme="minorHAnsi" w:eastAsiaTheme="minorEastAsia" w:hAnsiTheme="minorHAnsi" w:cstheme="minorHAnsi"/>
                <w:lang w:val="sq-AL"/>
              </w:rPr>
              <w:t xml:space="preserve"> </w:t>
            </w:r>
          </w:p>
        </w:tc>
        <w:tc>
          <w:tcPr>
            <w:tcW w:w="1980" w:type="dxa"/>
          </w:tcPr>
          <w:p w14:paraId="7C6BF0DA" w14:textId="226B6A33" w:rsidR="008671EF" w:rsidRPr="009A66BD" w:rsidRDefault="00352E36" w:rsidP="008671EF">
            <w:pPr>
              <w:spacing w:after="120" w:line="240" w:lineRule="auto"/>
              <w:ind w:firstLine="0"/>
              <w:jc w:val="left"/>
              <w:rPr>
                <w:rFonts w:asciiTheme="minorHAnsi" w:eastAsiaTheme="minorEastAsia" w:hAnsiTheme="minorHAnsi" w:cstheme="minorHAnsi"/>
                <w:lang w:val="sq-AL"/>
              </w:rPr>
            </w:pPr>
            <w:r w:rsidRPr="00352E36">
              <w:rPr>
                <w:rFonts w:asciiTheme="minorHAnsi" w:eastAsiaTheme="minorEastAsia" w:hAnsiTheme="minorHAnsi" w:cstheme="minorHAnsi"/>
                <w:lang w:val="sq-AL"/>
              </w:rPr>
              <w:t xml:space="preserve">Lëshimi i një Urdhri Administrativ që kërkon nga Qeveria të bëjë inventarin publikisht të </w:t>
            </w:r>
            <w:proofErr w:type="spellStart"/>
            <w:r w:rsidRPr="00352E36">
              <w:rPr>
                <w:rFonts w:asciiTheme="minorHAnsi" w:eastAsiaTheme="minorEastAsia" w:hAnsiTheme="minorHAnsi" w:cstheme="minorHAnsi"/>
                <w:lang w:val="sq-AL"/>
              </w:rPr>
              <w:t>disponueshëm</w:t>
            </w:r>
            <w:proofErr w:type="spellEnd"/>
            <w:r w:rsidRPr="00352E36">
              <w:rPr>
                <w:rFonts w:asciiTheme="minorHAnsi" w:eastAsiaTheme="minorEastAsia" w:hAnsiTheme="minorHAnsi" w:cstheme="minorHAnsi"/>
                <w:lang w:val="sq-AL"/>
              </w:rPr>
              <w:t xml:space="preserve"> dhe </w:t>
            </w:r>
            <w:r w:rsidR="00304380">
              <w:rPr>
                <w:rFonts w:asciiTheme="minorHAnsi" w:eastAsiaTheme="minorEastAsia" w:hAnsiTheme="minorHAnsi" w:cstheme="minorHAnsi"/>
                <w:lang w:val="sq-AL"/>
              </w:rPr>
              <w:t>q</w:t>
            </w:r>
            <w:r w:rsidR="006822F7">
              <w:rPr>
                <w:rFonts w:asciiTheme="minorHAnsi" w:eastAsiaTheme="minorEastAsia" w:hAnsiTheme="minorHAnsi" w:cstheme="minorHAnsi"/>
                <w:lang w:val="sq-AL"/>
              </w:rPr>
              <w:t>ë</w:t>
            </w:r>
            <w:r w:rsidR="00304380">
              <w:rPr>
                <w:rFonts w:asciiTheme="minorHAnsi" w:eastAsiaTheme="minorEastAsia" w:hAnsiTheme="minorHAnsi" w:cstheme="minorHAnsi"/>
                <w:lang w:val="sq-AL"/>
              </w:rPr>
              <w:t xml:space="preserve"> </w:t>
            </w:r>
            <w:r w:rsidRPr="00352E36">
              <w:rPr>
                <w:rFonts w:asciiTheme="minorHAnsi" w:eastAsiaTheme="minorEastAsia" w:hAnsiTheme="minorHAnsi" w:cstheme="minorHAnsi"/>
                <w:lang w:val="sq-AL"/>
              </w:rPr>
              <w:t>të përditësohet në baza periodike, siç përcaktohet nga Urdhri Administrativ</w:t>
            </w:r>
            <w:r w:rsidR="008671EF" w:rsidRPr="009A66BD">
              <w:rPr>
                <w:rFonts w:asciiTheme="minorHAnsi" w:eastAsiaTheme="minorEastAsia" w:hAnsiTheme="minorHAnsi" w:cstheme="minorHAnsi"/>
                <w:lang w:val="sq-AL"/>
              </w:rPr>
              <w:t>.</w:t>
            </w:r>
          </w:p>
        </w:tc>
        <w:tc>
          <w:tcPr>
            <w:tcW w:w="1080" w:type="dxa"/>
          </w:tcPr>
          <w:p w14:paraId="5403E79C" w14:textId="04014F1A" w:rsidR="008671EF" w:rsidRPr="009A66BD" w:rsidRDefault="008D5E84" w:rsidP="008671EF">
            <w:pPr>
              <w:spacing w:after="120" w:line="240" w:lineRule="auto"/>
              <w:ind w:firstLine="0"/>
              <w:jc w:val="left"/>
              <w:rPr>
                <w:rFonts w:asciiTheme="minorHAnsi" w:eastAsiaTheme="minorEastAsia" w:hAnsiTheme="minorHAnsi" w:cstheme="minorHAnsi"/>
                <w:lang w:val="sq-AL"/>
              </w:rPr>
            </w:pPr>
            <w:r>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34D934CC" w14:textId="6163BB29" w:rsidR="008671EF" w:rsidRPr="009A66BD" w:rsidRDefault="00D22ACA" w:rsidP="008671EF">
            <w:pPr>
              <w:spacing w:after="120" w:line="240" w:lineRule="auto"/>
              <w:ind w:firstLine="0"/>
              <w:jc w:val="left"/>
              <w:rPr>
                <w:rFonts w:asciiTheme="minorHAnsi" w:eastAsiaTheme="minorEastAsia" w:hAnsiTheme="minorHAnsi" w:cstheme="minorHAnsi"/>
                <w:i/>
                <w:szCs w:val="20"/>
                <w:lang w:val="sq-AL"/>
              </w:rPr>
            </w:pPr>
            <w:r w:rsidRPr="00D22ACA">
              <w:rPr>
                <w:rFonts w:asciiTheme="minorHAnsi" w:eastAsia="Calibri" w:hAnsiTheme="minorHAnsi" w:cstheme="minorHAnsi"/>
                <w:i/>
                <w:lang w:val="sq-AL"/>
              </w:rPr>
              <w:t xml:space="preserve">Rezultati do të përfshinte </w:t>
            </w:r>
            <w:r w:rsidR="00304380">
              <w:rPr>
                <w:rFonts w:asciiTheme="minorHAnsi" w:eastAsia="Calibri" w:hAnsiTheme="minorHAnsi" w:cstheme="minorHAnsi"/>
                <w:i/>
                <w:lang w:val="sq-AL"/>
              </w:rPr>
              <w:t>mir</w:t>
            </w:r>
            <w:r w:rsidR="006822F7">
              <w:rPr>
                <w:rFonts w:asciiTheme="minorHAnsi" w:eastAsia="Calibri" w:hAnsiTheme="minorHAnsi" w:cstheme="minorHAnsi"/>
                <w:i/>
                <w:lang w:val="sq-AL"/>
              </w:rPr>
              <w:t>ë</w:t>
            </w:r>
            <w:r w:rsidRPr="00D22ACA">
              <w:rPr>
                <w:rFonts w:asciiTheme="minorHAnsi" w:eastAsia="Calibri" w:hAnsiTheme="minorHAnsi" w:cstheme="minorHAnsi"/>
                <w:i/>
                <w:lang w:val="sq-AL"/>
              </w:rPr>
              <w:t>mbajtjen e inventarit në baza të rregullta.</w:t>
            </w:r>
          </w:p>
        </w:tc>
      </w:tr>
      <w:tr w:rsidR="008671EF" w:rsidRPr="009A66BD" w14:paraId="3D28BE63" w14:textId="77777777" w:rsidTr="00D43D3C">
        <w:trPr>
          <w:trHeight w:val="1015"/>
        </w:trPr>
        <w:tc>
          <w:tcPr>
            <w:tcW w:w="2335" w:type="dxa"/>
            <w:vMerge w:val="restart"/>
          </w:tcPr>
          <w:p w14:paraId="25BF42ED" w14:textId="128CE15D" w:rsidR="008671EF" w:rsidRPr="009A66BD" w:rsidRDefault="008671EF" w:rsidP="00B95D64">
            <w:pPr>
              <w:spacing w:after="120" w:line="240" w:lineRule="auto"/>
              <w:ind w:left="520" w:firstLine="0"/>
              <w:jc w:val="left"/>
              <w:rPr>
                <w:rFonts w:asciiTheme="minorHAnsi" w:eastAsiaTheme="minorEastAsia" w:hAnsiTheme="minorHAnsi" w:cstheme="minorHAnsi"/>
                <w:i/>
                <w:szCs w:val="20"/>
                <w:lang w:val="sq-AL"/>
              </w:rPr>
            </w:pPr>
            <w:r w:rsidRPr="009A66BD">
              <w:rPr>
                <w:rFonts w:asciiTheme="majorHAnsi" w:eastAsiaTheme="minorEastAsia" w:hAnsiTheme="majorHAnsi" w:cstheme="majorHAnsi"/>
                <w:i/>
                <w:iCs/>
                <w:szCs w:val="20"/>
                <w:lang w:val="sq-AL"/>
              </w:rPr>
              <w:t xml:space="preserve">6.3 </w:t>
            </w:r>
            <w:r w:rsidR="00304380" w:rsidRPr="00304380">
              <w:rPr>
                <w:rFonts w:asciiTheme="majorHAnsi" w:eastAsia="Calibri Light" w:hAnsiTheme="majorHAnsi" w:cstheme="majorHAnsi"/>
                <w:i/>
                <w:iCs/>
                <w:szCs w:val="20"/>
                <w:lang w:val="sq-AL"/>
              </w:rPr>
              <w:t xml:space="preserve">Angazhimi në të mësuarit </w:t>
            </w:r>
            <w:proofErr w:type="spellStart"/>
            <w:r w:rsidR="00304380" w:rsidRPr="00304380">
              <w:rPr>
                <w:rFonts w:asciiTheme="majorHAnsi" w:eastAsia="Calibri Light" w:hAnsiTheme="majorHAnsi" w:cstheme="majorHAnsi"/>
                <w:i/>
                <w:iCs/>
                <w:szCs w:val="20"/>
                <w:lang w:val="sq-AL"/>
              </w:rPr>
              <w:t>kolegial</w:t>
            </w:r>
            <w:proofErr w:type="spellEnd"/>
            <w:r w:rsidR="00304380" w:rsidRPr="00304380">
              <w:rPr>
                <w:rFonts w:asciiTheme="majorHAnsi" w:eastAsia="Calibri Light" w:hAnsiTheme="majorHAnsi" w:cstheme="majorHAnsi"/>
                <w:i/>
                <w:iCs/>
                <w:szCs w:val="20"/>
                <w:lang w:val="sq-AL"/>
              </w:rPr>
              <w:t xml:space="preserve"> </w:t>
            </w:r>
            <w:r w:rsidR="00304380">
              <w:rPr>
                <w:rFonts w:asciiTheme="majorHAnsi" w:eastAsia="Calibri Light" w:hAnsiTheme="majorHAnsi" w:cstheme="majorHAnsi"/>
                <w:i/>
                <w:iCs/>
                <w:szCs w:val="20"/>
                <w:lang w:val="sq-AL"/>
              </w:rPr>
              <w:t>(</w:t>
            </w:r>
            <w:proofErr w:type="spellStart"/>
            <w:r w:rsidR="00304380">
              <w:rPr>
                <w:rFonts w:asciiTheme="majorHAnsi" w:eastAsia="Calibri Light" w:hAnsiTheme="majorHAnsi" w:cstheme="majorHAnsi"/>
                <w:i/>
                <w:iCs/>
                <w:szCs w:val="20"/>
                <w:lang w:val="sq-AL"/>
              </w:rPr>
              <w:t>peer</w:t>
            </w:r>
            <w:proofErr w:type="spellEnd"/>
            <w:r w:rsidR="00304380">
              <w:rPr>
                <w:rFonts w:asciiTheme="majorHAnsi" w:eastAsia="Calibri Light" w:hAnsiTheme="majorHAnsi" w:cstheme="majorHAnsi"/>
                <w:i/>
                <w:iCs/>
                <w:szCs w:val="20"/>
                <w:lang w:val="sq-AL"/>
              </w:rPr>
              <w:t>-to-</w:t>
            </w:r>
            <w:proofErr w:type="spellStart"/>
            <w:r w:rsidR="00304380">
              <w:rPr>
                <w:rFonts w:asciiTheme="majorHAnsi" w:eastAsia="Calibri Light" w:hAnsiTheme="majorHAnsi" w:cstheme="majorHAnsi"/>
                <w:i/>
                <w:iCs/>
                <w:szCs w:val="20"/>
                <w:lang w:val="sq-AL"/>
              </w:rPr>
              <w:t>peer</w:t>
            </w:r>
            <w:proofErr w:type="spellEnd"/>
            <w:r w:rsidR="00304380">
              <w:rPr>
                <w:rFonts w:asciiTheme="majorHAnsi" w:eastAsia="Calibri Light" w:hAnsiTheme="majorHAnsi" w:cstheme="majorHAnsi"/>
                <w:i/>
                <w:iCs/>
                <w:szCs w:val="20"/>
                <w:lang w:val="sq-AL"/>
              </w:rPr>
              <w:t xml:space="preserve">) </w:t>
            </w:r>
            <w:r w:rsidR="00304380" w:rsidRPr="00304380">
              <w:rPr>
                <w:rFonts w:asciiTheme="majorHAnsi" w:eastAsia="Calibri Light" w:hAnsiTheme="majorHAnsi" w:cstheme="majorHAnsi"/>
                <w:i/>
                <w:iCs/>
                <w:szCs w:val="20"/>
                <w:lang w:val="sq-AL"/>
              </w:rPr>
              <w:t xml:space="preserve">mbi metodologjitë për vlerësimin kosto-përfitim dhe përvojat mbi </w:t>
            </w:r>
            <w:r w:rsidR="00304380" w:rsidRPr="00304380">
              <w:rPr>
                <w:rFonts w:asciiTheme="majorHAnsi" w:eastAsia="Calibri Light" w:hAnsiTheme="majorHAnsi" w:cstheme="majorHAnsi"/>
                <w:i/>
                <w:iCs/>
                <w:szCs w:val="20"/>
                <w:lang w:val="sq-AL"/>
              </w:rPr>
              <w:lastRenderedPageBreak/>
              <w:t>qeverisjen dhe administrimin e stimujve në kontekstin e Grupit të Përbashkët Punues për Investime të SEEIC-CEFTA.</w:t>
            </w:r>
          </w:p>
        </w:tc>
        <w:tc>
          <w:tcPr>
            <w:tcW w:w="2610" w:type="dxa"/>
          </w:tcPr>
          <w:p w14:paraId="3F517A77" w14:textId="5514343A" w:rsidR="008671EF" w:rsidRPr="009A66BD" w:rsidRDefault="008671EF" w:rsidP="00B95D6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lastRenderedPageBreak/>
              <w:t xml:space="preserve">6.3.1 </w:t>
            </w:r>
            <w:r w:rsidR="00065E39">
              <w:rPr>
                <w:rFonts w:asciiTheme="minorHAnsi" w:eastAsiaTheme="minorEastAsia" w:hAnsiTheme="minorHAnsi" w:cstheme="minorHAnsi"/>
                <w:szCs w:val="20"/>
                <w:lang w:val="sq-AL"/>
              </w:rPr>
              <w:t xml:space="preserve">Mbështetja e angazhimit </w:t>
            </w:r>
            <w:proofErr w:type="spellStart"/>
            <w:r w:rsidR="00B95D64">
              <w:rPr>
                <w:rFonts w:asciiTheme="minorHAnsi" w:eastAsiaTheme="minorEastAsia" w:hAnsiTheme="minorHAnsi" w:cstheme="minorHAnsi"/>
                <w:szCs w:val="20"/>
                <w:lang w:val="sq-AL"/>
              </w:rPr>
              <w:t>kolegial</w:t>
            </w:r>
            <w:proofErr w:type="spellEnd"/>
            <w:r w:rsidR="00B95D64">
              <w:rPr>
                <w:rFonts w:asciiTheme="minorHAnsi" w:eastAsiaTheme="minorEastAsia" w:hAnsiTheme="minorHAnsi" w:cstheme="minorHAnsi"/>
                <w:szCs w:val="20"/>
                <w:lang w:val="sq-AL"/>
              </w:rPr>
              <w:t xml:space="preserve"> </w:t>
            </w:r>
            <w:r w:rsidR="0094138B" w:rsidRPr="0094138B">
              <w:rPr>
                <w:rFonts w:asciiTheme="minorHAnsi" w:eastAsiaTheme="minorEastAsia" w:hAnsiTheme="minorHAnsi" w:cstheme="minorHAnsi"/>
                <w:szCs w:val="20"/>
                <w:lang w:val="sq-AL"/>
              </w:rPr>
              <w:t>rajonal përmes formimit të një grupi punues kombëtar si pjesë e Grupit të Përbashkët Punues të Investimeve (GPPI) të SEEIC-CEFTA.</w:t>
            </w:r>
          </w:p>
        </w:tc>
        <w:tc>
          <w:tcPr>
            <w:tcW w:w="900" w:type="dxa"/>
          </w:tcPr>
          <w:p w14:paraId="33D40292" w14:textId="6697EFF1"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Qershor</w:t>
            </w:r>
            <w:r w:rsidR="008671EF" w:rsidRPr="009A66BD">
              <w:rPr>
                <w:rFonts w:asciiTheme="minorHAnsi" w:eastAsiaTheme="minorEastAsia" w:hAnsiTheme="minorHAnsi" w:cstheme="minorHAnsi"/>
                <w:lang w:val="sq-AL"/>
              </w:rPr>
              <w:t xml:space="preserve"> 2019</w:t>
            </w:r>
          </w:p>
        </w:tc>
        <w:tc>
          <w:tcPr>
            <w:tcW w:w="1260" w:type="dxa"/>
          </w:tcPr>
          <w:p w14:paraId="75F39501" w14:textId="3B51B879" w:rsidR="008671EF" w:rsidRPr="009A66BD" w:rsidRDefault="0063032B" w:rsidP="008671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lang w:val="sq-AL"/>
              </w:rPr>
              <w:t>Ministria e Tregtisë dhe Industrisë</w:t>
            </w:r>
          </w:p>
        </w:tc>
        <w:tc>
          <w:tcPr>
            <w:tcW w:w="1980" w:type="dxa"/>
          </w:tcPr>
          <w:p w14:paraId="1CA83FC7" w14:textId="63C64CF0" w:rsidR="008671EF" w:rsidRPr="009A66BD" w:rsidRDefault="00076032" w:rsidP="00B95D64">
            <w:pPr>
              <w:spacing w:after="120" w:line="240" w:lineRule="auto"/>
              <w:ind w:firstLine="0"/>
              <w:jc w:val="left"/>
              <w:rPr>
                <w:rFonts w:asciiTheme="minorHAnsi" w:eastAsiaTheme="minorEastAsia" w:hAnsiTheme="minorHAnsi" w:cstheme="minorHAnsi"/>
                <w:szCs w:val="20"/>
                <w:lang w:val="sq-AL"/>
              </w:rPr>
            </w:pPr>
            <w:r w:rsidRPr="00076032">
              <w:rPr>
                <w:rFonts w:asciiTheme="minorHAnsi" w:eastAsiaTheme="minorEastAsia" w:hAnsiTheme="minorHAnsi" w:cstheme="minorBidi"/>
                <w:szCs w:val="20"/>
                <w:lang w:val="sq-AL"/>
              </w:rPr>
              <w:t xml:space="preserve">Përfaqësuesit e duhur të emëruar në baza rast pas rasti sipas temave të </w:t>
            </w:r>
            <w:r w:rsidR="00B95D64">
              <w:rPr>
                <w:rFonts w:asciiTheme="minorHAnsi" w:eastAsiaTheme="minorEastAsia" w:hAnsiTheme="minorHAnsi" w:cstheme="minorBidi"/>
                <w:szCs w:val="20"/>
                <w:lang w:val="sq-AL"/>
              </w:rPr>
              <w:t>n</w:t>
            </w:r>
            <w:r w:rsidR="006822F7">
              <w:rPr>
                <w:rFonts w:asciiTheme="minorHAnsi" w:eastAsiaTheme="minorEastAsia" w:hAnsiTheme="minorHAnsi" w:cstheme="minorBidi"/>
                <w:szCs w:val="20"/>
                <w:lang w:val="sq-AL"/>
              </w:rPr>
              <w:t>ë</w:t>
            </w:r>
            <w:r w:rsidR="00B95D64">
              <w:rPr>
                <w:rFonts w:asciiTheme="minorHAnsi" w:eastAsiaTheme="minorEastAsia" w:hAnsiTheme="minorHAnsi" w:cstheme="minorBidi"/>
                <w:szCs w:val="20"/>
                <w:lang w:val="sq-AL"/>
              </w:rPr>
              <w:t>n-</w:t>
            </w:r>
            <w:r w:rsidRPr="00076032">
              <w:rPr>
                <w:rFonts w:asciiTheme="minorHAnsi" w:eastAsiaTheme="minorEastAsia" w:hAnsiTheme="minorHAnsi" w:cstheme="minorBidi"/>
                <w:szCs w:val="20"/>
                <w:lang w:val="sq-AL"/>
              </w:rPr>
              <w:t xml:space="preserve">grupit specifik </w:t>
            </w:r>
            <w:r w:rsidR="00B95D64">
              <w:rPr>
                <w:rFonts w:asciiTheme="minorHAnsi" w:eastAsiaTheme="minorEastAsia" w:hAnsiTheme="minorHAnsi" w:cstheme="minorBidi"/>
                <w:szCs w:val="20"/>
                <w:lang w:val="sq-AL"/>
              </w:rPr>
              <w:t>p</w:t>
            </w:r>
            <w:r w:rsidRPr="00076032">
              <w:rPr>
                <w:rFonts w:asciiTheme="minorHAnsi" w:eastAsiaTheme="minorEastAsia" w:hAnsiTheme="minorHAnsi" w:cstheme="minorBidi"/>
                <w:szCs w:val="20"/>
                <w:lang w:val="sq-AL"/>
              </w:rPr>
              <w:t>unues teknik.</w:t>
            </w:r>
          </w:p>
        </w:tc>
        <w:tc>
          <w:tcPr>
            <w:tcW w:w="1080" w:type="dxa"/>
          </w:tcPr>
          <w:p w14:paraId="7DA364DE" w14:textId="72A5FF79" w:rsidR="008671EF" w:rsidRPr="009A66BD" w:rsidRDefault="00D23D07" w:rsidP="008671EF">
            <w:pPr>
              <w:spacing w:after="120" w:line="240" w:lineRule="auto"/>
              <w:ind w:firstLine="0"/>
              <w:jc w:val="left"/>
              <w:rPr>
                <w:rFonts w:asciiTheme="minorHAnsi" w:eastAsiaTheme="minorEastAsia" w:hAnsiTheme="minorHAnsi" w:cstheme="minorHAnsi"/>
                <w:lang w:val="sq-AL"/>
              </w:rPr>
            </w:pPr>
            <w:r w:rsidRPr="009A66BD">
              <w:rPr>
                <w:rFonts w:asciiTheme="minorHAnsi" w:hAnsiTheme="minorHAnsi" w:cstheme="minorHAnsi"/>
                <w:sz w:val="18"/>
                <w:lang w:val="sq-AL"/>
              </w:rPr>
              <w:t>KBR</w:t>
            </w:r>
            <w:r w:rsidRPr="009A66BD">
              <w:rPr>
                <w:rFonts w:asciiTheme="minorHAnsi" w:eastAsiaTheme="minorEastAsia" w:hAnsiTheme="minorHAnsi" w:cstheme="minorBidi"/>
                <w:szCs w:val="20"/>
                <w:lang w:val="sq-AL"/>
              </w:rPr>
              <w:t xml:space="preserve"> </w:t>
            </w:r>
            <w:r w:rsidR="008671EF" w:rsidRPr="009A66BD">
              <w:rPr>
                <w:rFonts w:asciiTheme="minorHAnsi" w:eastAsiaTheme="minorEastAsia" w:hAnsiTheme="minorHAnsi" w:cstheme="minorBidi"/>
                <w:szCs w:val="20"/>
                <w:lang w:val="sq-AL"/>
              </w:rPr>
              <w:t xml:space="preserve">/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0061A5F8" w14:textId="0AEF5958" w:rsidR="008671EF" w:rsidRPr="009A66BD" w:rsidRDefault="008671EF" w:rsidP="008671EF">
            <w:pPr>
              <w:spacing w:after="120" w:line="240" w:lineRule="auto"/>
              <w:ind w:firstLine="0"/>
              <w:jc w:val="left"/>
              <w:rPr>
                <w:rFonts w:asciiTheme="minorHAnsi" w:eastAsia="Calibri" w:hAnsiTheme="minorHAnsi" w:cstheme="minorHAnsi"/>
                <w:i/>
                <w:sz w:val="18"/>
                <w:szCs w:val="18"/>
                <w:lang w:val="sq-AL"/>
              </w:rPr>
            </w:pPr>
          </w:p>
        </w:tc>
      </w:tr>
      <w:tr w:rsidR="008671EF" w:rsidRPr="00612497" w14:paraId="641F8943"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5F1CA4A5" w14:textId="77777777" w:rsidR="008671EF" w:rsidRPr="009A66BD" w:rsidRDefault="008671EF" w:rsidP="008671EF">
            <w:pPr>
              <w:spacing w:after="120" w:line="240" w:lineRule="auto"/>
              <w:ind w:firstLine="0"/>
              <w:jc w:val="left"/>
              <w:rPr>
                <w:rFonts w:asciiTheme="minorHAnsi" w:eastAsiaTheme="minorHAnsi" w:hAnsiTheme="minorHAnsi" w:cstheme="minorHAnsi"/>
                <w:szCs w:val="20"/>
                <w:lang w:val="sq-AL"/>
              </w:rPr>
            </w:pPr>
          </w:p>
        </w:tc>
        <w:tc>
          <w:tcPr>
            <w:tcW w:w="2610" w:type="dxa"/>
          </w:tcPr>
          <w:p w14:paraId="621B6532" w14:textId="74491C12" w:rsidR="008671EF" w:rsidRPr="009A66BD" w:rsidRDefault="008671EF" w:rsidP="00B95D64">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6.3.2 </w:t>
            </w:r>
            <w:r w:rsidR="00EC05ED" w:rsidRPr="00EC05ED">
              <w:rPr>
                <w:rFonts w:asciiTheme="minorHAnsi" w:eastAsiaTheme="minorEastAsia" w:hAnsiTheme="minorHAnsi" w:cstheme="minorHAnsi"/>
                <w:szCs w:val="20"/>
                <w:lang w:val="sq-AL"/>
              </w:rPr>
              <w:t>Shfrytëzimi i dialogut rajonal të krijuar në kuadër të Pikës</w:t>
            </w:r>
            <w:r w:rsidR="00B95D64">
              <w:rPr>
                <w:rFonts w:asciiTheme="minorHAnsi" w:eastAsiaTheme="minorEastAsia" w:hAnsiTheme="minorHAnsi" w:cstheme="minorHAnsi"/>
                <w:szCs w:val="20"/>
                <w:lang w:val="sq-AL"/>
              </w:rPr>
              <w:t>/Veprimit</w:t>
            </w:r>
            <w:r w:rsidR="00EC05ED" w:rsidRPr="00EC05ED">
              <w:rPr>
                <w:rFonts w:asciiTheme="minorHAnsi" w:eastAsiaTheme="minorEastAsia" w:hAnsiTheme="minorHAnsi" w:cstheme="minorHAnsi"/>
                <w:szCs w:val="20"/>
                <w:lang w:val="sq-AL"/>
              </w:rPr>
              <w:t xml:space="preserve"> 6.3.1.të PVRI-së si një mjet për të lehtësuar të mësuarit </w:t>
            </w:r>
            <w:proofErr w:type="spellStart"/>
            <w:r w:rsidR="00065E39">
              <w:rPr>
                <w:rFonts w:asciiTheme="minorHAnsi" w:eastAsiaTheme="minorEastAsia" w:hAnsiTheme="minorHAnsi" w:cstheme="minorHAnsi"/>
                <w:szCs w:val="20"/>
                <w:lang w:val="sq-AL"/>
              </w:rPr>
              <w:t>kolegial</w:t>
            </w:r>
            <w:proofErr w:type="spellEnd"/>
            <w:r w:rsidR="00B95D64">
              <w:rPr>
                <w:rFonts w:asciiTheme="minorHAnsi" w:eastAsiaTheme="minorEastAsia" w:hAnsiTheme="minorHAnsi" w:cstheme="minorHAnsi"/>
                <w:szCs w:val="20"/>
                <w:lang w:val="sq-AL"/>
              </w:rPr>
              <w:t xml:space="preserve"> dhe s</w:t>
            </w:r>
            <w:r w:rsidR="00EC05ED" w:rsidRPr="00EC05ED">
              <w:rPr>
                <w:rFonts w:asciiTheme="minorHAnsi" w:eastAsiaTheme="minorEastAsia" w:hAnsiTheme="minorHAnsi" w:cstheme="minorHAnsi"/>
                <w:szCs w:val="20"/>
                <w:lang w:val="sq-AL"/>
              </w:rPr>
              <w:t>hkëmbimin e praktikave më të mira.</w:t>
            </w:r>
          </w:p>
        </w:tc>
        <w:tc>
          <w:tcPr>
            <w:tcW w:w="900" w:type="dxa"/>
          </w:tcPr>
          <w:p w14:paraId="50061D4F" w14:textId="4A70F470"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Qershor </w:t>
            </w:r>
            <w:r w:rsidR="008671EF" w:rsidRPr="009A66BD">
              <w:rPr>
                <w:rFonts w:asciiTheme="minorHAnsi" w:eastAsiaTheme="minorEastAsia" w:hAnsiTheme="minorHAnsi" w:cstheme="minorHAnsi"/>
                <w:lang w:val="sq-AL"/>
              </w:rPr>
              <w:t>2020</w:t>
            </w:r>
          </w:p>
        </w:tc>
        <w:tc>
          <w:tcPr>
            <w:tcW w:w="1260" w:type="dxa"/>
          </w:tcPr>
          <w:p w14:paraId="159F39FE" w14:textId="3BB08D50" w:rsidR="008671EF" w:rsidRPr="009A66BD" w:rsidRDefault="0063032B" w:rsidP="008671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lang w:val="sq-AL"/>
              </w:rPr>
              <w:t>Ministria e Tregtisë dhe Industrisë</w:t>
            </w:r>
          </w:p>
        </w:tc>
        <w:tc>
          <w:tcPr>
            <w:tcW w:w="1980" w:type="dxa"/>
          </w:tcPr>
          <w:p w14:paraId="2CBD4CD9" w14:textId="58BD1252" w:rsidR="00734EC7" w:rsidRPr="00734EC7" w:rsidRDefault="00734EC7" w:rsidP="00734EC7">
            <w:pPr>
              <w:spacing w:after="120" w:line="240" w:lineRule="atLeast"/>
              <w:ind w:firstLine="0"/>
              <w:jc w:val="left"/>
              <w:rPr>
                <w:rFonts w:asciiTheme="minorHAnsi" w:eastAsiaTheme="minorEastAsia" w:hAnsiTheme="minorHAnsi" w:cstheme="minorBidi"/>
                <w:szCs w:val="20"/>
                <w:lang w:val="sq-AL"/>
              </w:rPr>
            </w:pPr>
            <w:r w:rsidRPr="00734EC7">
              <w:rPr>
                <w:rFonts w:asciiTheme="minorHAnsi" w:eastAsiaTheme="minorEastAsia" w:hAnsiTheme="minorHAnsi" w:cstheme="minorBidi"/>
                <w:szCs w:val="20"/>
                <w:lang w:val="sq-AL"/>
              </w:rPr>
              <w:t>Raportet përkatëse rajonale (për shembull, inventari i stimujve, anket</w:t>
            </w:r>
            <w:r w:rsidR="00B95D64">
              <w:rPr>
                <w:rFonts w:asciiTheme="minorHAnsi" w:eastAsiaTheme="minorEastAsia" w:hAnsiTheme="minorHAnsi" w:cstheme="minorBidi"/>
                <w:szCs w:val="20"/>
                <w:lang w:val="sq-AL"/>
              </w:rPr>
              <w:t xml:space="preserve">at </w:t>
            </w:r>
            <w:r w:rsidRPr="00734EC7">
              <w:rPr>
                <w:rFonts w:asciiTheme="minorHAnsi" w:eastAsiaTheme="minorEastAsia" w:hAnsiTheme="minorHAnsi" w:cstheme="minorBidi"/>
                <w:szCs w:val="20"/>
                <w:lang w:val="sq-AL"/>
              </w:rPr>
              <w:t>e investitorëve, vlerësimet kosto-përfitim) ndahen përmes platformës rajonale të dialogut.</w:t>
            </w:r>
          </w:p>
          <w:p w14:paraId="12F01793" w14:textId="1C8239D7" w:rsidR="008671EF" w:rsidRPr="009A66BD" w:rsidRDefault="00734EC7" w:rsidP="00734EC7">
            <w:pPr>
              <w:spacing w:after="120" w:line="240" w:lineRule="atLeast"/>
              <w:ind w:firstLine="0"/>
              <w:jc w:val="left"/>
              <w:rPr>
                <w:rFonts w:asciiTheme="minorHAnsi" w:eastAsiaTheme="minorEastAsia" w:hAnsiTheme="minorHAnsi" w:cstheme="minorBidi"/>
                <w:szCs w:val="20"/>
                <w:lang w:val="sq-AL"/>
              </w:rPr>
            </w:pPr>
            <w:r w:rsidRPr="00734EC7">
              <w:rPr>
                <w:rFonts w:asciiTheme="minorHAnsi" w:eastAsiaTheme="minorEastAsia" w:hAnsiTheme="minorHAnsi" w:cstheme="minorBidi"/>
                <w:szCs w:val="20"/>
                <w:lang w:val="sq-AL"/>
              </w:rPr>
              <w:t xml:space="preserve">Publikimi i stimujve të investimit në portalin rajonal </w:t>
            </w:r>
            <w:r w:rsidR="008671EF" w:rsidRPr="009A66BD">
              <w:rPr>
                <w:rFonts w:ascii="Calibri" w:eastAsia="Calibri" w:hAnsi="Calibri" w:cs="Calibri"/>
                <w:szCs w:val="20"/>
                <w:lang w:val="sq-AL"/>
              </w:rPr>
              <w:t>(</w:t>
            </w:r>
            <w:hyperlink r:id="rId15">
              <w:r w:rsidR="006822F7">
                <w:rPr>
                  <w:rStyle w:val="Hyperlink"/>
                  <w:rFonts w:ascii="Calibri" w:eastAsia="Calibri" w:hAnsi="Calibri" w:cs="Calibri"/>
                  <w:szCs w:val="20"/>
                  <w:lang w:val="sq-AL"/>
                </w:rPr>
                <w:t>ëëë</w:t>
              </w:r>
              <w:r w:rsidR="008671EF" w:rsidRPr="009A66BD">
                <w:rPr>
                  <w:rStyle w:val="Hyperlink"/>
                  <w:rFonts w:ascii="Calibri" w:eastAsia="Calibri" w:hAnsi="Calibri" w:cs="Calibri"/>
                  <w:szCs w:val="20"/>
                  <w:lang w:val="sq-AL"/>
                </w:rPr>
                <w:t>.investinsee.com</w:t>
              </w:r>
            </w:hyperlink>
            <w:r w:rsidR="008671EF" w:rsidRPr="009A66BD">
              <w:rPr>
                <w:rFonts w:ascii="Calibri" w:eastAsia="Calibri" w:hAnsi="Calibri" w:cs="Calibri"/>
                <w:color w:val="0000FF"/>
                <w:szCs w:val="20"/>
                <w:u w:val="single"/>
                <w:lang w:val="sq-AL"/>
              </w:rPr>
              <w:t>)</w:t>
            </w:r>
            <w:hyperlink/>
          </w:p>
        </w:tc>
        <w:tc>
          <w:tcPr>
            <w:tcW w:w="1080" w:type="dxa"/>
          </w:tcPr>
          <w:p w14:paraId="28372334" w14:textId="67FDBC84" w:rsidR="008671EF" w:rsidRPr="009A66BD" w:rsidRDefault="00D23D07" w:rsidP="008671EF">
            <w:pPr>
              <w:spacing w:after="120" w:line="240" w:lineRule="auto"/>
              <w:ind w:firstLine="0"/>
              <w:jc w:val="left"/>
              <w:rPr>
                <w:rFonts w:asciiTheme="minorHAnsi" w:eastAsiaTheme="minorEastAsia" w:hAnsiTheme="minorHAnsi" w:cstheme="minorHAnsi"/>
                <w:lang w:val="sq-AL"/>
              </w:rPr>
            </w:pPr>
            <w:r w:rsidRPr="009A66BD">
              <w:rPr>
                <w:rFonts w:asciiTheme="minorHAnsi" w:hAnsiTheme="minorHAnsi" w:cstheme="minorHAnsi"/>
                <w:sz w:val="18"/>
                <w:lang w:val="sq-AL"/>
              </w:rPr>
              <w:t>KBR</w:t>
            </w:r>
            <w:r w:rsidR="008671EF" w:rsidRPr="009A66BD">
              <w:rPr>
                <w:rFonts w:asciiTheme="minorHAnsi" w:eastAsiaTheme="minorEastAsia" w:hAnsiTheme="minorHAnsi" w:cstheme="minorHAnsi"/>
                <w:lang w:val="sq-AL"/>
              </w:rPr>
              <w:t xml:space="preserve"> /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664E47A6" w14:textId="743A58B5" w:rsidR="008671EF" w:rsidRPr="009A66BD" w:rsidRDefault="00C956C2" w:rsidP="00660A68">
            <w:pPr>
              <w:spacing w:after="120" w:line="240" w:lineRule="auto"/>
              <w:ind w:firstLine="0"/>
              <w:jc w:val="left"/>
              <w:rPr>
                <w:rFonts w:asciiTheme="minorHAnsi" w:eastAsia="Calibri" w:hAnsiTheme="minorHAnsi" w:cstheme="minorHAnsi"/>
                <w:i/>
                <w:sz w:val="18"/>
                <w:szCs w:val="18"/>
                <w:lang w:val="sq-AL"/>
              </w:rPr>
            </w:pPr>
            <w:r w:rsidRPr="00C956C2">
              <w:rPr>
                <w:rFonts w:asciiTheme="minorHAnsi" w:eastAsia="Calibri" w:hAnsiTheme="minorHAnsi" w:cstheme="minorHAnsi"/>
                <w:i/>
                <w:lang w:val="sq-AL"/>
              </w:rPr>
              <w:t xml:space="preserve">Informacioni mund të përfshijë metoda </w:t>
            </w:r>
            <w:r w:rsidR="00660A68">
              <w:rPr>
                <w:rFonts w:asciiTheme="minorHAnsi" w:eastAsia="Calibri" w:hAnsiTheme="minorHAnsi" w:cstheme="minorHAnsi"/>
                <w:i/>
                <w:lang w:val="sq-AL"/>
              </w:rPr>
              <w:t>mbi</w:t>
            </w:r>
            <w:r w:rsidRPr="00C956C2">
              <w:rPr>
                <w:rFonts w:asciiTheme="minorHAnsi" w:eastAsia="Calibri" w:hAnsiTheme="minorHAnsi" w:cstheme="minorHAnsi"/>
                <w:i/>
                <w:lang w:val="sq-AL"/>
              </w:rPr>
              <w:t xml:space="preserve"> monitorimin dhe vlerësimin, analizën kosto-përfitim, zbatimin e praktikave të mira ndërkombëtare, materialet e trajnimit etj.</w:t>
            </w:r>
          </w:p>
        </w:tc>
      </w:tr>
      <w:tr w:rsidR="008671EF" w:rsidRPr="00612497" w14:paraId="410AC560" w14:textId="77777777" w:rsidTr="00D43D3C">
        <w:trPr>
          <w:trHeight w:val="1015"/>
        </w:trPr>
        <w:tc>
          <w:tcPr>
            <w:tcW w:w="2335" w:type="dxa"/>
            <w:vMerge/>
          </w:tcPr>
          <w:p w14:paraId="28E1C701" w14:textId="77777777" w:rsidR="008671EF" w:rsidRPr="009A66BD" w:rsidRDefault="008671EF" w:rsidP="008671EF">
            <w:pPr>
              <w:spacing w:after="120" w:line="240" w:lineRule="auto"/>
              <w:ind w:firstLine="0"/>
              <w:jc w:val="left"/>
              <w:rPr>
                <w:rFonts w:asciiTheme="minorHAnsi" w:eastAsiaTheme="minorHAnsi" w:hAnsiTheme="minorHAnsi" w:cstheme="minorHAnsi"/>
                <w:szCs w:val="20"/>
                <w:lang w:val="sq-AL"/>
              </w:rPr>
            </w:pPr>
          </w:p>
        </w:tc>
        <w:tc>
          <w:tcPr>
            <w:tcW w:w="2610" w:type="dxa"/>
          </w:tcPr>
          <w:p w14:paraId="789C27E8" w14:textId="638C5FAD" w:rsidR="008671EF" w:rsidRPr="009A66BD" w:rsidRDefault="008671EF" w:rsidP="000F7D50">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6.3.3 </w:t>
            </w:r>
            <w:r w:rsidR="004B5DC8" w:rsidRPr="004B5DC8">
              <w:rPr>
                <w:rFonts w:asciiTheme="minorHAnsi" w:eastAsiaTheme="minorEastAsia" w:hAnsiTheme="minorHAnsi" w:cstheme="minorBidi"/>
                <w:szCs w:val="20"/>
                <w:lang w:val="sq-AL"/>
              </w:rPr>
              <w:t xml:space="preserve">Vlerësimi i nevojave për trajnim në lidhje me </w:t>
            </w:r>
            <w:r w:rsidR="000F7D50">
              <w:rPr>
                <w:rFonts w:asciiTheme="minorHAnsi" w:eastAsiaTheme="minorEastAsia" w:hAnsiTheme="minorHAnsi" w:cstheme="minorBidi"/>
                <w:szCs w:val="20"/>
                <w:lang w:val="sq-AL"/>
              </w:rPr>
              <w:t xml:space="preserve">dizajnin </w:t>
            </w:r>
            <w:r w:rsidR="004B5DC8" w:rsidRPr="004B5DC8">
              <w:rPr>
                <w:rFonts w:asciiTheme="minorHAnsi" w:eastAsiaTheme="minorEastAsia" w:hAnsiTheme="minorHAnsi" w:cstheme="minorBidi"/>
                <w:szCs w:val="20"/>
                <w:lang w:val="sq-AL"/>
              </w:rPr>
              <w:t>dhe administrimin e stimujve dhe praktikat e mira, si dhe pjesëmarrja në programe trajnimi, punëtori, seminare etj.</w:t>
            </w:r>
          </w:p>
        </w:tc>
        <w:tc>
          <w:tcPr>
            <w:tcW w:w="900" w:type="dxa"/>
          </w:tcPr>
          <w:p w14:paraId="19B3F87A" w14:textId="2D6D7615"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Qershor </w:t>
            </w:r>
            <w:r w:rsidR="008671EF" w:rsidRPr="009A66BD">
              <w:rPr>
                <w:rFonts w:asciiTheme="minorHAnsi" w:eastAsiaTheme="minorEastAsia" w:hAnsiTheme="minorHAnsi" w:cstheme="minorHAnsi"/>
                <w:lang w:val="sq-AL"/>
              </w:rPr>
              <w:t>2019</w:t>
            </w:r>
          </w:p>
        </w:tc>
        <w:tc>
          <w:tcPr>
            <w:tcW w:w="1260" w:type="dxa"/>
          </w:tcPr>
          <w:p w14:paraId="1709CB3F" w14:textId="09CB1873" w:rsidR="008671EF" w:rsidRPr="009A66BD" w:rsidRDefault="0063032B" w:rsidP="008671EF">
            <w:pPr>
              <w:spacing w:after="120" w:line="240" w:lineRule="auto"/>
              <w:ind w:firstLine="0"/>
              <w:jc w:val="left"/>
              <w:rPr>
                <w:rFonts w:asciiTheme="minorHAnsi" w:eastAsia="Calibri" w:hAnsiTheme="minorHAnsi" w:cstheme="minorHAnsi"/>
                <w:sz w:val="18"/>
                <w:szCs w:val="18"/>
                <w:lang w:val="sq-AL"/>
              </w:rPr>
            </w:pPr>
            <w:r w:rsidRPr="009A66BD">
              <w:rPr>
                <w:rFonts w:asciiTheme="minorHAnsi" w:eastAsia="Calibri" w:hAnsiTheme="minorHAnsi" w:cstheme="minorHAnsi"/>
                <w:lang w:val="sq-AL"/>
              </w:rPr>
              <w:t>Ministria e Tregtisë dhe Industrisë</w:t>
            </w:r>
          </w:p>
        </w:tc>
        <w:tc>
          <w:tcPr>
            <w:tcW w:w="1980" w:type="dxa"/>
          </w:tcPr>
          <w:p w14:paraId="3FC7DF8E" w14:textId="7701B996" w:rsidR="008671EF" w:rsidRPr="009A66BD" w:rsidRDefault="00B311F7" w:rsidP="008671EF">
            <w:pPr>
              <w:spacing w:after="120" w:line="240" w:lineRule="atLeast"/>
              <w:ind w:firstLine="0"/>
              <w:jc w:val="left"/>
              <w:rPr>
                <w:rFonts w:asciiTheme="minorHAnsi" w:eastAsiaTheme="minorEastAsia" w:hAnsiTheme="minorHAnsi" w:cstheme="minorBidi"/>
                <w:szCs w:val="20"/>
                <w:lang w:val="sq-AL"/>
              </w:rPr>
            </w:pPr>
            <w:r w:rsidRPr="00B311F7">
              <w:rPr>
                <w:rFonts w:asciiTheme="minorHAnsi" w:eastAsiaTheme="minorEastAsia" w:hAnsiTheme="minorHAnsi" w:cstheme="minorBidi"/>
                <w:szCs w:val="20"/>
                <w:lang w:val="sq-AL"/>
              </w:rPr>
              <w:t xml:space="preserve">Lista e programeve të nevojshme të ndërtimit të kapaciteteve që mund të </w:t>
            </w:r>
            <w:r w:rsidR="000F7D50">
              <w:rPr>
                <w:rFonts w:asciiTheme="minorHAnsi" w:eastAsiaTheme="minorEastAsia" w:hAnsiTheme="minorHAnsi" w:cstheme="minorBidi"/>
                <w:szCs w:val="20"/>
                <w:lang w:val="sq-AL"/>
              </w:rPr>
              <w:t xml:space="preserve">zhvillohen </w:t>
            </w:r>
            <w:r w:rsidRPr="00B311F7">
              <w:rPr>
                <w:rFonts w:asciiTheme="minorHAnsi" w:eastAsiaTheme="minorEastAsia" w:hAnsiTheme="minorHAnsi" w:cstheme="minorBidi"/>
                <w:szCs w:val="20"/>
                <w:lang w:val="sq-AL"/>
              </w:rPr>
              <w:t>në baza rajonale</w:t>
            </w:r>
            <w:r w:rsidR="008671EF" w:rsidRPr="009A66BD">
              <w:rPr>
                <w:rFonts w:asciiTheme="minorHAnsi" w:eastAsiaTheme="minorEastAsia" w:hAnsiTheme="minorHAnsi" w:cstheme="minorBidi"/>
                <w:szCs w:val="20"/>
                <w:lang w:val="sq-AL"/>
              </w:rPr>
              <w:t>.</w:t>
            </w:r>
          </w:p>
          <w:p w14:paraId="6DC6FB69" w14:textId="72664955" w:rsidR="008671EF" w:rsidRPr="009A66BD" w:rsidRDefault="003D7D9E" w:rsidP="00AB48B9">
            <w:pPr>
              <w:spacing w:after="120" w:line="240" w:lineRule="auto"/>
              <w:ind w:firstLine="0"/>
              <w:jc w:val="left"/>
              <w:rPr>
                <w:rFonts w:asciiTheme="minorHAnsi" w:eastAsiaTheme="minorEastAsia" w:hAnsiTheme="minorHAnsi" w:cstheme="minorHAnsi"/>
                <w:szCs w:val="20"/>
                <w:lang w:val="sq-AL"/>
              </w:rPr>
            </w:pPr>
            <w:r w:rsidRPr="003D7D9E">
              <w:rPr>
                <w:rFonts w:asciiTheme="minorHAnsi" w:eastAsiaTheme="minorEastAsia" w:hAnsiTheme="minorHAnsi" w:cstheme="minorBidi"/>
                <w:szCs w:val="20"/>
                <w:lang w:val="sq-AL"/>
              </w:rPr>
              <w:t>Trajnimet e përbashkëta, punëtorit</w:t>
            </w:r>
            <w:r w:rsidR="006822F7">
              <w:rPr>
                <w:rFonts w:asciiTheme="minorHAnsi" w:eastAsiaTheme="minorEastAsia" w:hAnsiTheme="minorHAnsi" w:cstheme="minorBidi"/>
                <w:szCs w:val="20"/>
                <w:lang w:val="sq-AL"/>
              </w:rPr>
              <w:t>ë</w:t>
            </w:r>
            <w:r w:rsidRPr="003D7D9E">
              <w:rPr>
                <w:rFonts w:asciiTheme="minorHAnsi" w:eastAsiaTheme="minorEastAsia" w:hAnsiTheme="minorHAnsi" w:cstheme="minorBidi"/>
                <w:szCs w:val="20"/>
                <w:lang w:val="sq-AL"/>
              </w:rPr>
              <w:t xml:space="preserve">, seminaret, etj. Të bazuara në </w:t>
            </w:r>
            <w:r w:rsidR="006822F7">
              <w:rPr>
                <w:rFonts w:asciiTheme="minorHAnsi" w:eastAsiaTheme="minorEastAsia" w:hAnsiTheme="minorHAnsi" w:cstheme="minorBidi"/>
                <w:szCs w:val="20"/>
                <w:lang w:val="sq-AL"/>
              </w:rPr>
              <w:t>hendeqet/</w:t>
            </w:r>
            <w:r w:rsidRPr="003D7D9E">
              <w:rPr>
                <w:rFonts w:asciiTheme="minorHAnsi" w:eastAsiaTheme="minorEastAsia" w:hAnsiTheme="minorHAnsi" w:cstheme="minorBidi"/>
                <w:szCs w:val="20"/>
                <w:lang w:val="sq-AL"/>
              </w:rPr>
              <w:t>boshllëqet</w:t>
            </w:r>
            <w:r w:rsidR="00AB48B9">
              <w:rPr>
                <w:rFonts w:asciiTheme="minorHAnsi" w:eastAsiaTheme="minorEastAsia" w:hAnsiTheme="minorHAnsi" w:cstheme="minorBidi"/>
                <w:szCs w:val="20"/>
                <w:lang w:val="sq-AL"/>
              </w:rPr>
              <w:t xml:space="preserve"> e  identifikuara në njohuritë </w:t>
            </w:r>
            <w:r w:rsidRPr="003D7D9E">
              <w:rPr>
                <w:rFonts w:asciiTheme="minorHAnsi" w:eastAsiaTheme="minorEastAsia" w:hAnsiTheme="minorHAnsi" w:cstheme="minorBidi"/>
                <w:szCs w:val="20"/>
                <w:lang w:val="sq-AL"/>
              </w:rPr>
              <w:t xml:space="preserve">lidhur me monitorimin dhe vlerësimin e stimujve, analizën kosto-përfitim dhe </w:t>
            </w:r>
            <w:r w:rsidRPr="003D7D9E">
              <w:rPr>
                <w:rFonts w:asciiTheme="minorHAnsi" w:eastAsiaTheme="minorEastAsia" w:hAnsiTheme="minorHAnsi" w:cstheme="minorBidi"/>
                <w:szCs w:val="20"/>
                <w:lang w:val="sq-AL"/>
              </w:rPr>
              <w:lastRenderedPageBreak/>
              <w:t>praktikat më të mira.</w:t>
            </w:r>
          </w:p>
        </w:tc>
        <w:tc>
          <w:tcPr>
            <w:tcW w:w="1080" w:type="dxa"/>
          </w:tcPr>
          <w:p w14:paraId="05A7EEF3" w14:textId="114B78BC" w:rsidR="008671EF" w:rsidRPr="009A66BD" w:rsidRDefault="00D23D07" w:rsidP="008671EF">
            <w:pPr>
              <w:spacing w:after="120" w:line="240" w:lineRule="auto"/>
              <w:ind w:firstLine="0"/>
              <w:jc w:val="left"/>
              <w:rPr>
                <w:rFonts w:asciiTheme="minorHAnsi" w:eastAsiaTheme="minorEastAsia" w:hAnsiTheme="minorHAnsi" w:cstheme="minorHAnsi"/>
                <w:lang w:val="sq-AL"/>
              </w:rPr>
            </w:pPr>
            <w:r w:rsidRPr="009A66BD">
              <w:rPr>
                <w:rFonts w:asciiTheme="minorHAnsi" w:hAnsiTheme="minorHAnsi" w:cstheme="minorHAnsi"/>
                <w:sz w:val="18"/>
                <w:lang w:val="sq-AL"/>
              </w:rPr>
              <w:lastRenderedPageBreak/>
              <w:t>KBR</w:t>
            </w:r>
            <w:r w:rsidR="008671EF" w:rsidRPr="009A66BD">
              <w:rPr>
                <w:rFonts w:asciiTheme="minorHAnsi" w:eastAsiaTheme="minorEastAsia" w:hAnsiTheme="minorHAnsi" w:cstheme="minorBidi"/>
                <w:szCs w:val="20"/>
                <w:lang w:val="sq-AL"/>
              </w:rPr>
              <w:t xml:space="preserve"> / </w:t>
            </w:r>
            <w:r w:rsidR="008D5E84">
              <w:rPr>
                <w:rFonts w:asciiTheme="minorHAnsi" w:eastAsiaTheme="minorEastAsia" w:hAnsiTheme="minorHAnsi" w:cstheme="minorBidi"/>
                <w:szCs w:val="20"/>
                <w:lang w:val="sq-AL"/>
              </w:rPr>
              <w:t>GBB</w:t>
            </w:r>
            <w:r w:rsidR="00470679" w:rsidRPr="009A66BD">
              <w:rPr>
                <w:rFonts w:asciiTheme="minorHAnsi" w:eastAsiaTheme="minorEastAsia" w:hAnsiTheme="minorHAnsi" w:cstheme="minorBidi"/>
                <w:szCs w:val="20"/>
                <w:lang w:val="sq-AL"/>
              </w:rPr>
              <w:t xml:space="preserve"> - BP PPI</w:t>
            </w:r>
          </w:p>
        </w:tc>
        <w:tc>
          <w:tcPr>
            <w:tcW w:w="4508" w:type="dxa"/>
          </w:tcPr>
          <w:p w14:paraId="1D98F381" w14:textId="23FCBBF5" w:rsidR="008671EF" w:rsidRPr="009A66BD" w:rsidRDefault="009B7F12" w:rsidP="008671EF">
            <w:pPr>
              <w:spacing w:after="120" w:line="240" w:lineRule="auto"/>
              <w:ind w:firstLine="0"/>
              <w:jc w:val="left"/>
              <w:rPr>
                <w:rFonts w:asciiTheme="minorHAnsi" w:eastAsiaTheme="minorEastAsia" w:hAnsiTheme="minorHAnsi" w:cstheme="minorHAnsi"/>
                <w:szCs w:val="20"/>
                <w:lang w:val="sq-AL"/>
              </w:rPr>
            </w:pPr>
            <w:r w:rsidRPr="009B7F12">
              <w:rPr>
                <w:rFonts w:asciiTheme="minorHAnsi" w:eastAsiaTheme="minorEastAsia" w:hAnsiTheme="minorHAnsi" w:cstheme="minorHAnsi"/>
                <w:i/>
                <w:szCs w:val="20"/>
                <w:lang w:val="sq-AL"/>
              </w:rPr>
              <w:t xml:space="preserve">Lista do të përdoret si kontribut për zhvillimin e një analize të kërkesës </w:t>
            </w:r>
            <w:r w:rsidR="000F7D50">
              <w:rPr>
                <w:rFonts w:asciiTheme="minorHAnsi" w:eastAsiaTheme="minorEastAsia" w:hAnsiTheme="minorHAnsi" w:cstheme="minorHAnsi"/>
                <w:i/>
                <w:szCs w:val="20"/>
                <w:lang w:val="sq-AL"/>
              </w:rPr>
              <w:t xml:space="preserve">rajonale </w:t>
            </w:r>
            <w:r w:rsidRPr="009B7F12">
              <w:rPr>
                <w:rFonts w:asciiTheme="minorHAnsi" w:eastAsiaTheme="minorEastAsia" w:hAnsiTheme="minorHAnsi" w:cstheme="minorHAnsi"/>
                <w:i/>
                <w:szCs w:val="20"/>
                <w:lang w:val="sq-AL"/>
              </w:rPr>
              <w:t>për ndërtimin e kapaciteteve / trajnimit  së bashku me informacionet e siguruara nga ekonomitë e tjera pjesëmarrëse nga rajoni</w:t>
            </w:r>
            <w:r w:rsidR="008671EF" w:rsidRPr="009A66BD">
              <w:rPr>
                <w:rFonts w:asciiTheme="minorHAnsi" w:eastAsiaTheme="minorEastAsia" w:hAnsiTheme="minorHAnsi" w:cstheme="minorHAnsi"/>
                <w:i/>
                <w:szCs w:val="20"/>
                <w:lang w:val="sq-AL"/>
              </w:rPr>
              <w:t>.</w:t>
            </w:r>
            <w:r w:rsidR="008671EF" w:rsidRPr="009A66BD">
              <w:rPr>
                <w:rFonts w:asciiTheme="minorHAnsi" w:eastAsiaTheme="minorEastAsia" w:hAnsiTheme="minorHAnsi" w:cstheme="minorHAnsi"/>
                <w:szCs w:val="20"/>
                <w:lang w:val="sq-AL"/>
              </w:rPr>
              <w:t xml:space="preserve"> </w:t>
            </w:r>
          </w:p>
          <w:p w14:paraId="168680E0" w14:textId="10F64EE6" w:rsidR="008671EF" w:rsidRPr="009A66BD" w:rsidRDefault="00ED2E34" w:rsidP="000F7D50">
            <w:pPr>
              <w:spacing w:after="120" w:line="240" w:lineRule="auto"/>
              <w:ind w:firstLine="0"/>
              <w:jc w:val="left"/>
              <w:rPr>
                <w:rFonts w:asciiTheme="minorHAnsi" w:eastAsiaTheme="minorEastAsia" w:hAnsiTheme="minorHAnsi" w:cstheme="minorHAnsi"/>
                <w:i/>
                <w:szCs w:val="20"/>
                <w:lang w:val="sq-AL"/>
              </w:rPr>
            </w:pPr>
            <w:r w:rsidRPr="00ED2E34">
              <w:rPr>
                <w:rFonts w:asciiTheme="minorHAnsi" w:eastAsiaTheme="minorEastAsia" w:hAnsiTheme="minorHAnsi" w:cstheme="minorHAnsi"/>
                <w:i/>
                <w:szCs w:val="20"/>
                <w:lang w:val="sq-AL"/>
              </w:rPr>
              <w:t xml:space="preserve">Bazuar në këtë vlerësim, një grup i moduleve potenciale të trajnimit me interes të përbashkët do të përpilohet nga KBR me mbështetjen e projektit </w:t>
            </w:r>
            <w:r w:rsidR="008D5E84">
              <w:rPr>
                <w:rFonts w:asciiTheme="minorHAnsi" w:eastAsiaTheme="minorEastAsia" w:hAnsiTheme="minorHAnsi" w:cstheme="minorHAnsi"/>
                <w:i/>
                <w:szCs w:val="20"/>
                <w:lang w:val="sq-AL"/>
              </w:rPr>
              <w:t>GBB</w:t>
            </w:r>
            <w:r w:rsidRPr="00ED2E34">
              <w:rPr>
                <w:rFonts w:asciiTheme="minorHAnsi" w:eastAsiaTheme="minorEastAsia" w:hAnsiTheme="minorHAnsi" w:cstheme="minorHAnsi"/>
                <w:i/>
                <w:szCs w:val="20"/>
                <w:lang w:val="sq-AL"/>
              </w:rPr>
              <w:t xml:space="preserve"> - BP PPI. Identifikimi i ofruesve të përshtatshëm të trajnimit dhe zbatimi </w:t>
            </w:r>
            <w:r w:rsidR="000F7D50">
              <w:rPr>
                <w:rFonts w:asciiTheme="minorHAnsi" w:eastAsiaTheme="minorEastAsia" w:hAnsiTheme="minorHAnsi" w:cstheme="minorHAnsi"/>
                <w:i/>
                <w:szCs w:val="20"/>
                <w:lang w:val="sq-AL"/>
              </w:rPr>
              <w:t xml:space="preserve">faktik </w:t>
            </w:r>
            <w:r w:rsidRPr="00ED2E34">
              <w:rPr>
                <w:rFonts w:asciiTheme="minorHAnsi" w:eastAsiaTheme="minorEastAsia" w:hAnsiTheme="minorHAnsi" w:cstheme="minorHAnsi"/>
                <w:i/>
                <w:szCs w:val="20"/>
                <w:lang w:val="sq-AL"/>
              </w:rPr>
              <w:t xml:space="preserve"> i moduleve të trajnimit është subjekt i </w:t>
            </w:r>
            <w:proofErr w:type="spellStart"/>
            <w:r w:rsidRPr="00ED2E34">
              <w:rPr>
                <w:rFonts w:asciiTheme="minorHAnsi" w:eastAsiaTheme="minorEastAsia" w:hAnsiTheme="minorHAnsi" w:cstheme="minorHAnsi"/>
                <w:i/>
                <w:szCs w:val="20"/>
                <w:lang w:val="sq-AL"/>
              </w:rPr>
              <w:t>disponueshmërisë</w:t>
            </w:r>
            <w:proofErr w:type="spellEnd"/>
            <w:r w:rsidRPr="00ED2E34">
              <w:rPr>
                <w:rFonts w:asciiTheme="minorHAnsi" w:eastAsiaTheme="minorEastAsia" w:hAnsiTheme="minorHAnsi" w:cstheme="minorHAnsi"/>
                <w:i/>
                <w:szCs w:val="20"/>
                <w:lang w:val="sq-AL"/>
              </w:rPr>
              <w:t xml:space="preserve"> së financimit</w:t>
            </w:r>
            <w:r w:rsidR="008671EF" w:rsidRPr="009A66BD">
              <w:rPr>
                <w:rFonts w:asciiTheme="minorHAnsi" w:eastAsiaTheme="minorEastAsia" w:hAnsiTheme="minorHAnsi" w:cstheme="minorHAnsi"/>
                <w:i/>
                <w:szCs w:val="20"/>
                <w:lang w:val="sq-AL"/>
              </w:rPr>
              <w:t>.</w:t>
            </w:r>
          </w:p>
        </w:tc>
      </w:tr>
      <w:tr w:rsidR="008671EF" w:rsidRPr="00612497" w14:paraId="6CD46BFE"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val="restart"/>
          </w:tcPr>
          <w:p w14:paraId="5542CFF6" w14:textId="178B7C73" w:rsidR="008671EF" w:rsidRPr="009A66BD" w:rsidRDefault="008671EF" w:rsidP="00AB48B9">
            <w:pPr>
              <w:spacing w:after="120" w:line="240" w:lineRule="auto"/>
              <w:ind w:left="520" w:firstLine="0"/>
              <w:jc w:val="left"/>
              <w:rPr>
                <w:rFonts w:asciiTheme="majorHAnsi" w:eastAsiaTheme="minorEastAsia" w:hAnsiTheme="majorHAnsi" w:cstheme="majorHAnsi"/>
                <w:szCs w:val="20"/>
                <w:lang w:val="sq-AL"/>
              </w:rPr>
            </w:pPr>
            <w:r w:rsidRPr="009A66BD">
              <w:rPr>
                <w:rFonts w:asciiTheme="majorHAnsi" w:eastAsiaTheme="minorEastAsia" w:hAnsiTheme="majorHAnsi" w:cstheme="majorHAnsi"/>
                <w:i/>
                <w:iCs/>
                <w:szCs w:val="20"/>
                <w:lang w:val="sq-AL"/>
              </w:rPr>
              <w:lastRenderedPageBreak/>
              <w:t xml:space="preserve">6.4 </w:t>
            </w:r>
            <w:r w:rsidR="00AB48B9" w:rsidRPr="00AB48B9">
              <w:rPr>
                <w:rFonts w:asciiTheme="majorHAnsi" w:eastAsiaTheme="minorEastAsia" w:hAnsiTheme="majorHAnsi" w:cstheme="majorHAnsi"/>
                <w:i/>
                <w:iCs/>
                <w:szCs w:val="20"/>
                <w:lang w:val="sq-AL"/>
              </w:rPr>
              <w:t>Angazhimi sistematik në monitorimin dhe vlerësimin e stimujve për të vlerësuar efektivitetin dhe konsideratat kosto-përfitim në nivel të ekonomisë.</w:t>
            </w:r>
            <w:r w:rsidR="00A56F22" w:rsidRPr="00A56F22">
              <w:rPr>
                <w:rFonts w:asciiTheme="majorHAnsi" w:eastAsiaTheme="minorEastAsia" w:hAnsiTheme="majorHAnsi" w:cstheme="majorHAnsi"/>
                <w:i/>
                <w:iCs/>
                <w:szCs w:val="20"/>
                <w:lang w:val="sq-AL"/>
              </w:rPr>
              <w:t xml:space="preserve"> </w:t>
            </w:r>
          </w:p>
        </w:tc>
        <w:tc>
          <w:tcPr>
            <w:tcW w:w="2610" w:type="dxa"/>
          </w:tcPr>
          <w:p w14:paraId="35F89E55" w14:textId="43B32065" w:rsidR="008671EF" w:rsidRPr="009A66BD" w:rsidRDefault="008671EF" w:rsidP="008671EF">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6.4.1 </w:t>
            </w:r>
            <w:r w:rsidR="002F4F05" w:rsidRPr="002F4F05">
              <w:rPr>
                <w:rFonts w:asciiTheme="minorHAnsi" w:eastAsiaTheme="minorEastAsia" w:hAnsiTheme="minorHAnsi" w:cstheme="minorHAnsi"/>
                <w:szCs w:val="20"/>
                <w:lang w:val="sq-AL"/>
              </w:rPr>
              <w:t>Forcimi i monitorimit dhe vlerësimit të ndihmës shtetërore</w:t>
            </w:r>
          </w:p>
        </w:tc>
        <w:tc>
          <w:tcPr>
            <w:tcW w:w="900" w:type="dxa"/>
          </w:tcPr>
          <w:p w14:paraId="1DDEFF0B" w14:textId="51C479B3"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Qershor</w:t>
            </w:r>
            <w:r w:rsidR="008671EF" w:rsidRPr="009A66BD">
              <w:rPr>
                <w:rFonts w:asciiTheme="minorHAnsi" w:eastAsiaTheme="minorEastAsia" w:hAnsiTheme="minorHAnsi" w:cstheme="minorHAnsi"/>
                <w:lang w:val="sq-AL"/>
              </w:rPr>
              <w:t xml:space="preserve"> 2019</w:t>
            </w:r>
          </w:p>
        </w:tc>
        <w:tc>
          <w:tcPr>
            <w:tcW w:w="1260" w:type="dxa"/>
          </w:tcPr>
          <w:p w14:paraId="72DDA17A" w14:textId="26881E3D" w:rsidR="008671EF" w:rsidRPr="009A66BD" w:rsidRDefault="0063032B" w:rsidP="00AB48B9">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Ministria e Financave (Departamenti për Ndihm</w:t>
            </w:r>
            <w:r w:rsidR="00AB48B9">
              <w:rPr>
                <w:rFonts w:asciiTheme="minorHAnsi" w:eastAsiaTheme="minorEastAsia" w:hAnsiTheme="minorHAnsi" w:cstheme="minorHAnsi"/>
                <w:lang w:val="sq-AL"/>
              </w:rPr>
              <w:t>a</w:t>
            </w:r>
            <w:r w:rsidRPr="009A66BD">
              <w:rPr>
                <w:rFonts w:asciiTheme="minorHAnsi" w:eastAsiaTheme="minorEastAsia" w:hAnsiTheme="minorHAnsi" w:cstheme="minorHAnsi"/>
                <w:lang w:val="sq-AL"/>
              </w:rPr>
              <w:t xml:space="preserve"> Shtetërore)</w:t>
            </w:r>
          </w:p>
        </w:tc>
        <w:tc>
          <w:tcPr>
            <w:tcW w:w="1980" w:type="dxa"/>
          </w:tcPr>
          <w:p w14:paraId="17103ABF" w14:textId="00DF2FD7" w:rsidR="008671EF" w:rsidRPr="009A66BD" w:rsidRDefault="002F4F05" w:rsidP="00AB48B9">
            <w:pPr>
              <w:spacing w:after="120" w:line="240" w:lineRule="auto"/>
              <w:ind w:firstLine="0"/>
              <w:jc w:val="left"/>
              <w:rPr>
                <w:rFonts w:asciiTheme="minorHAnsi" w:eastAsiaTheme="minorEastAsia" w:hAnsiTheme="minorHAnsi" w:cstheme="minorHAnsi"/>
                <w:lang w:val="sq-AL"/>
              </w:rPr>
            </w:pPr>
            <w:r w:rsidRPr="002F4F05">
              <w:rPr>
                <w:rFonts w:asciiTheme="minorHAnsi" w:eastAsia="Calibri" w:hAnsiTheme="minorHAnsi" w:cstheme="minorHAnsi"/>
                <w:lang w:val="sq-AL"/>
              </w:rPr>
              <w:t>Emërimi i anëtarëve në Komisionin për Ndihm</w:t>
            </w:r>
            <w:r w:rsidR="00AB48B9">
              <w:rPr>
                <w:rFonts w:asciiTheme="minorHAnsi" w:eastAsia="Calibri" w:hAnsiTheme="minorHAnsi" w:cstheme="minorHAnsi"/>
                <w:lang w:val="sq-AL"/>
              </w:rPr>
              <w:t>a</w:t>
            </w:r>
            <w:r w:rsidRPr="002F4F05">
              <w:rPr>
                <w:rFonts w:asciiTheme="minorHAnsi" w:eastAsia="Calibri" w:hAnsiTheme="minorHAnsi" w:cstheme="minorHAnsi"/>
                <w:lang w:val="sq-AL"/>
              </w:rPr>
              <w:t xml:space="preserve"> Shtetërore. Publikimi në gazetën zyrtare ose </w:t>
            </w:r>
            <w:r>
              <w:rPr>
                <w:rFonts w:asciiTheme="minorHAnsi" w:eastAsia="Calibri" w:hAnsiTheme="minorHAnsi" w:cstheme="minorHAnsi"/>
                <w:lang w:val="sq-AL"/>
              </w:rPr>
              <w:t xml:space="preserve">në </w:t>
            </w:r>
            <w:r w:rsidRPr="002F4F05">
              <w:rPr>
                <w:rFonts w:asciiTheme="minorHAnsi" w:eastAsia="Calibri" w:hAnsiTheme="minorHAnsi" w:cstheme="minorHAnsi"/>
                <w:lang w:val="sq-AL"/>
              </w:rPr>
              <w:t>publikim</w:t>
            </w:r>
            <w:r w:rsidR="00AB48B9">
              <w:rPr>
                <w:rFonts w:asciiTheme="minorHAnsi" w:eastAsia="Calibri" w:hAnsiTheme="minorHAnsi" w:cstheme="minorHAnsi"/>
                <w:lang w:val="sq-AL"/>
              </w:rPr>
              <w:t xml:space="preserve"> tjet</w:t>
            </w:r>
            <w:r w:rsidR="006822F7">
              <w:rPr>
                <w:rFonts w:asciiTheme="minorHAnsi" w:eastAsia="Calibri" w:hAnsiTheme="minorHAnsi" w:cstheme="minorHAnsi"/>
                <w:lang w:val="sq-AL"/>
              </w:rPr>
              <w:t>ë</w:t>
            </w:r>
            <w:r w:rsidR="00AB48B9">
              <w:rPr>
                <w:rFonts w:asciiTheme="minorHAnsi" w:eastAsia="Calibri" w:hAnsiTheme="minorHAnsi" w:cstheme="minorHAnsi"/>
                <w:lang w:val="sq-AL"/>
              </w:rPr>
              <w:t xml:space="preserve">r </w:t>
            </w:r>
            <w:r w:rsidRPr="002F4F05">
              <w:rPr>
                <w:rFonts w:asciiTheme="minorHAnsi" w:eastAsia="Calibri" w:hAnsiTheme="minorHAnsi" w:cstheme="minorHAnsi"/>
                <w:lang w:val="sq-AL"/>
              </w:rPr>
              <w:t>të ministrisë përkatëse</w:t>
            </w:r>
            <w:r w:rsidR="008671EF" w:rsidRPr="009A66BD">
              <w:rPr>
                <w:rFonts w:asciiTheme="minorHAnsi" w:eastAsia="Calibri" w:hAnsiTheme="minorHAnsi" w:cstheme="minorHAnsi"/>
                <w:lang w:val="sq-AL"/>
              </w:rPr>
              <w:t xml:space="preserve">. </w:t>
            </w:r>
          </w:p>
        </w:tc>
        <w:tc>
          <w:tcPr>
            <w:tcW w:w="1080" w:type="dxa"/>
          </w:tcPr>
          <w:p w14:paraId="64AA74E5" w14:textId="262A3970" w:rsidR="008671EF" w:rsidRPr="009A66BD" w:rsidRDefault="00045F5A"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Nuk është e nevojshme</w:t>
            </w:r>
          </w:p>
        </w:tc>
        <w:tc>
          <w:tcPr>
            <w:tcW w:w="4508" w:type="dxa"/>
          </w:tcPr>
          <w:p w14:paraId="7A536847" w14:textId="365AA33E" w:rsidR="008671EF" w:rsidRPr="009A66BD" w:rsidRDefault="00620DE5" w:rsidP="00AB48B9">
            <w:pPr>
              <w:spacing w:after="120" w:line="240" w:lineRule="auto"/>
              <w:ind w:firstLine="0"/>
              <w:jc w:val="left"/>
              <w:rPr>
                <w:rFonts w:asciiTheme="minorHAnsi" w:eastAsiaTheme="minorEastAsia" w:hAnsiTheme="minorHAnsi" w:cstheme="minorHAnsi"/>
                <w:i/>
                <w:lang w:val="sq-AL"/>
              </w:rPr>
            </w:pPr>
            <w:r w:rsidRPr="00620DE5">
              <w:rPr>
                <w:rFonts w:asciiTheme="minorHAnsi" w:eastAsia="Calibri" w:hAnsiTheme="minorHAnsi" w:cstheme="minorHAnsi"/>
                <w:i/>
                <w:lang w:val="sq-AL"/>
              </w:rPr>
              <w:t xml:space="preserve">Komisioni </w:t>
            </w:r>
            <w:r w:rsidR="00AB48B9">
              <w:rPr>
                <w:rFonts w:asciiTheme="minorHAnsi" w:eastAsia="Calibri" w:hAnsiTheme="minorHAnsi" w:cstheme="minorHAnsi"/>
                <w:i/>
                <w:lang w:val="sq-AL"/>
              </w:rPr>
              <w:t>p</w:t>
            </w:r>
            <w:r w:rsidR="006822F7">
              <w:rPr>
                <w:rFonts w:asciiTheme="minorHAnsi" w:eastAsia="Calibri" w:hAnsiTheme="minorHAnsi" w:cstheme="minorHAnsi"/>
                <w:i/>
                <w:lang w:val="sq-AL"/>
              </w:rPr>
              <w:t>ë</w:t>
            </w:r>
            <w:r w:rsidR="00AB48B9">
              <w:rPr>
                <w:rFonts w:asciiTheme="minorHAnsi" w:eastAsia="Calibri" w:hAnsiTheme="minorHAnsi" w:cstheme="minorHAnsi"/>
                <w:i/>
                <w:lang w:val="sq-AL"/>
              </w:rPr>
              <w:t xml:space="preserve">r </w:t>
            </w:r>
            <w:r w:rsidRPr="00620DE5">
              <w:rPr>
                <w:rFonts w:asciiTheme="minorHAnsi" w:eastAsia="Calibri" w:hAnsiTheme="minorHAnsi" w:cstheme="minorHAnsi"/>
                <w:i/>
                <w:lang w:val="sq-AL"/>
              </w:rPr>
              <w:t>Ndihm</w:t>
            </w:r>
            <w:r w:rsidR="00AB48B9">
              <w:rPr>
                <w:rFonts w:asciiTheme="minorHAnsi" w:eastAsia="Calibri" w:hAnsiTheme="minorHAnsi" w:cstheme="minorHAnsi"/>
                <w:i/>
                <w:lang w:val="sq-AL"/>
              </w:rPr>
              <w:t>a</w:t>
            </w:r>
            <w:r w:rsidRPr="00620DE5">
              <w:rPr>
                <w:rFonts w:asciiTheme="minorHAnsi" w:eastAsia="Calibri" w:hAnsiTheme="minorHAnsi" w:cstheme="minorHAnsi"/>
                <w:i/>
                <w:lang w:val="sq-AL"/>
              </w:rPr>
              <w:t xml:space="preserve"> Shtetërore është pjesë e Departamentit për Ndihm</w:t>
            </w:r>
            <w:r w:rsidR="00AB48B9">
              <w:rPr>
                <w:rFonts w:asciiTheme="minorHAnsi" w:eastAsia="Calibri" w:hAnsiTheme="minorHAnsi" w:cstheme="minorHAnsi"/>
                <w:i/>
                <w:lang w:val="sq-AL"/>
              </w:rPr>
              <w:t>a</w:t>
            </w:r>
            <w:r w:rsidRPr="00620DE5">
              <w:rPr>
                <w:rFonts w:asciiTheme="minorHAnsi" w:eastAsia="Calibri" w:hAnsiTheme="minorHAnsi" w:cstheme="minorHAnsi"/>
                <w:i/>
                <w:lang w:val="sq-AL"/>
              </w:rPr>
              <w:t xml:space="preserve"> Shtetërore dhe posedon kompetencën për të verifikuar masat e njoftuara të ndihmës, ndalimin e ndihmës, kryerjen e </w:t>
            </w:r>
            <w:proofErr w:type="spellStart"/>
            <w:r w:rsidRPr="00620DE5">
              <w:rPr>
                <w:rFonts w:asciiTheme="minorHAnsi" w:eastAsia="Calibri" w:hAnsiTheme="minorHAnsi" w:cstheme="minorHAnsi"/>
                <w:i/>
                <w:lang w:val="sq-AL"/>
              </w:rPr>
              <w:t>auditimit</w:t>
            </w:r>
            <w:proofErr w:type="spellEnd"/>
            <w:r w:rsidRPr="00620DE5">
              <w:rPr>
                <w:rFonts w:asciiTheme="minorHAnsi" w:eastAsia="Calibri" w:hAnsiTheme="minorHAnsi" w:cstheme="minorHAnsi"/>
                <w:i/>
                <w:lang w:val="sq-AL"/>
              </w:rPr>
              <w:t xml:space="preserve"> </w:t>
            </w:r>
            <w:proofErr w:type="spellStart"/>
            <w:r w:rsidRPr="00620DE5">
              <w:rPr>
                <w:rFonts w:asciiTheme="minorHAnsi" w:eastAsia="Calibri" w:hAnsiTheme="minorHAnsi" w:cstheme="minorHAnsi"/>
                <w:i/>
                <w:lang w:val="sq-AL"/>
              </w:rPr>
              <w:t>ex</w:t>
            </w:r>
            <w:proofErr w:type="spellEnd"/>
            <w:r w:rsidRPr="00620DE5">
              <w:rPr>
                <w:rFonts w:asciiTheme="minorHAnsi" w:eastAsia="Calibri" w:hAnsiTheme="minorHAnsi" w:cstheme="minorHAnsi"/>
                <w:i/>
                <w:lang w:val="sq-AL"/>
              </w:rPr>
              <w:t xml:space="preserve">-post të ndihmës dhe </w:t>
            </w:r>
            <w:r w:rsidR="00AB48B9">
              <w:rPr>
                <w:rFonts w:asciiTheme="minorHAnsi" w:eastAsia="Calibri" w:hAnsiTheme="minorHAnsi" w:cstheme="minorHAnsi"/>
                <w:i/>
                <w:lang w:val="sq-AL"/>
              </w:rPr>
              <w:t>rikuperimit/rikthimit t</w:t>
            </w:r>
            <w:r w:rsidR="006822F7">
              <w:rPr>
                <w:rFonts w:asciiTheme="minorHAnsi" w:eastAsia="Calibri" w:hAnsiTheme="minorHAnsi" w:cstheme="minorHAnsi"/>
                <w:i/>
                <w:lang w:val="sq-AL"/>
              </w:rPr>
              <w:t>ë</w:t>
            </w:r>
            <w:r w:rsidR="00AB48B9">
              <w:rPr>
                <w:rFonts w:asciiTheme="minorHAnsi" w:eastAsia="Calibri" w:hAnsiTheme="minorHAnsi" w:cstheme="minorHAnsi"/>
                <w:i/>
                <w:lang w:val="sq-AL"/>
              </w:rPr>
              <w:t xml:space="preserve"> </w:t>
            </w:r>
            <w:r w:rsidRPr="00620DE5">
              <w:rPr>
                <w:rFonts w:asciiTheme="minorHAnsi" w:eastAsia="Calibri" w:hAnsiTheme="minorHAnsi" w:cstheme="minorHAnsi"/>
                <w:i/>
                <w:lang w:val="sq-AL"/>
              </w:rPr>
              <w:t xml:space="preserve"> ndihmës </w:t>
            </w:r>
            <w:proofErr w:type="spellStart"/>
            <w:r w:rsidR="00AB48B9">
              <w:rPr>
                <w:rFonts w:asciiTheme="minorHAnsi" w:eastAsia="Calibri" w:hAnsiTheme="minorHAnsi" w:cstheme="minorHAnsi"/>
                <w:i/>
                <w:lang w:val="sq-AL"/>
              </w:rPr>
              <w:t>jokompatibile</w:t>
            </w:r>
            <w:proofErr w:type="spellEnd"/>
            <w:r w:rsidRPr="00620DE5">
              <w:rPr>
                <w:rFonts w:asciiTheme="minorHAnsi" w:eastAsia="Calibri" w:hAnsiTheme="minorHAnsi" w:cstheme="minorHAnsi"/>
                <w:i/>
                <w:lang w:val="sq-AL"/>
              </w:rPr>
              <w:t>.</w:t>
            </w:r>
          </w:p>
        </w:tc>
      </w:tr>
      <w:tr w:rsidR="008671EF" w:rsidRPr="009A66BD" w14:paraId="72408E1E" w14:textId="77777777" w:rsidTr="00D43D3C">
        <w:trPr>
          <w:trHeight w:val="1015"/>
        </w:trPr>
        <w:tc>
          <w:tcPr>
            <w:tcW w:w="2335" w:type="dxa"/>
            <w:vMerge/>
          </w:tcPr>
          <w:p w14:paraId="2C3FE763" w14:textId="77777777" w:rsidR="008671EF" w:rsidRPr="009A66BD" w:rsidRDefault="008671EF" w:rsidP="008671EF">
            <w:pPr>
              <w:spacing w:after="120" w:line="240" w:lineRule="auto"/>
              <w:ind w:firstLine="0"/>
              <w:jc w:val="left"/>
              <w:rPr>
                <w:rFonts w:asciiTheme="minorHAnsi" w:eastAsiaTheme="minorHAnsi" w:hAnsiTheme="minorHAnsi" w:cstheme="minorHAnsi"/>
                <w:szCs w:val="20"/>
                <w:lang w:val="sq-AL"/>
              </w:rPr>
            </w:pPr>
          </w:p>
        </w:tc>
        <w:tc>
          <w:tcPr>
            <w:tcW w:w="2610" w:type="dxa"/>
          </w:tcPr>
          <w:p w14:paraId="4A26CCF9" w14:textId="7F2737A3" w:rsidR="008671EF" w:rsidRPr="009A66BD" w:rsidRDefault="008671EF" w:rsidP="00AB48B9">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lang w:val="sq-AL"/>
              </w:rPr>
              <w:t xml:space="preserve">6.4.2 </w:t>
            </w:r>
            <w:r w:rsidR="00900AD3" w:rsidRPr="00900AD3">
              <w:rPr>
                <w:rFonts w:asciiTheme="minorHAnsi" w:eastAsiaTheme="minorEastAsia" w:hAnsiTheme="minorHAnsi" w:cstheme="minorBidi"/>
                <w:szCs w:val="20"/>
                <w:lang w:val="sq-AL"/>
              </w:rPr>
              <w:t>Zbatimi i metodave të monitorimit dhe vlerësimit për të gjitha programet e stimujve për të siguruar që stimujt të përmbushin qëllimet e tyre dhe të</w:t>
            </w:r>
            <w:r w:rsidR="00AB48B9">
              <w:rPr>
                <w:rFonts w:asciiTheme="minorHAnsi" w:eastAsiaTheme="minorEastAsia" w:hAnsiTheme="minorHAnsi" w:cstheme="minorBidi"/>
                <w:szCs w:val="20"/>
                <w:lang w:val="sq-AL"/>
              </w:rPr>
              <w:t xml:space="preserve"> sjellin p</w:t>
            </w:r>
            <w:r w:rsidR="006822F7">
              <w:rPr>
                <w:rFonts w:asciiTheme="minorHAnsi" w:eastAsiaTheme="minorEastAsia" w:hAnsiTheme="minorHAnsi" w:cstheme="minorBidi"/>
                <w:szCs w:val="20"/>
                <w:lang w:val="sq-AL"/>
              </w:rPr>
              <w:t>ë</w:t>
            </w:r>
            <w:r w:rsidR="00AB48B9">
              <w:rPr>
                <w:rFonts w:asciiTheme="minorHAnsi" w:eastAsiaTheme="minorEastAsia" w:hAnsiTheme="minorHAnsi" w:cstheme="minorBidi"/>
                <w:szCs w:val="20"/>
                <w:lang w:val="sq-AL"/>
              </w:rPr>
              <w:t>rfitime p</w:t>
            </w:r>
            <w:r w:rsidR="006822F7">
              <w:rPr>
                <w:rFonts w:asciiTheme="minorHAnsi" w:eastAsiaTheme="minorEastAsia" w:hAnsiTheme="minorHAnsi" w:cstheme="minorBidi"/>
                <w:szCs w:val="20"/>
                <w:lang w:val="sq-AL"/>
              </w:rPr>
              <w:t>ë</w:t>
            </w:r>
            <w:r w:rsidR="00AB48B9">
              <w:rPr>
                <w:rFonts w:asciiTheme="minorHAnsi" w:eastAsiaTheme="minorEastAsia" w:hAnsiTheme="minorHAnsi" w:cstheme="minorBidi"/>
                <w:szCs w:val="20"/>
                <w:lang w:val="sq-AL"/>
              </w:rPr>
              <w:t xml:space="preserve">r </w:t>
            </w:r>
            <w:r w:rsidR="00900AD3" w:rsidRPr="00900AD3">
              <w:rPr>
                <w:rFonts w:asciiTheme="minorHAnsi" w:eastAsiaTheme="minorEastAsia" w:hAnsiTheme="minorHAnsi" w:cstheme="minorBidi"/>
                <w:szCs w:val="20"/>
                <w:lang w:val="sq-AL"/>
              </w:rPr>
              <w:t>ekonominë</w:t>
            </w:r>
          </w:p>
        </w:tc>
        <w:tc>
          <w:tcPr>
            <w:tcW w:w="900" w:type="dxa"/>
          </w:tcPr>
          <w:p w14:paraId="4D925BA6" w14:textId="2004E290"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Dhjetor</w:t>
            </w:r>
            <w:r w:rsidR="008671EF" w:rsidRPr="009A66BD">
              <w:rPr>
                <w:rFonts w:asciiTheme="minorHAnsi" w:eastAsiaTheme="minorEastAsia" w:hAnsiTheme="minorHAnsi" w:cstheme="minorHAnsi"/>
                <w:lang w:val="sq-AL"/>
              </w:rPr>
              <w:t>2019</w:t>
            </w:r>
          </w:p>
        </w:tc>
        <w:tc>
          <w:tcPr>
            <w:tcW w:w="1260" w:type="dxa"/>
          </w:tcPr>
          <w:p w14:paraId="6EABBD62" w14:textId="7275CECE" w:rsidR="008671EF" w:rsidRPr="009A66BD" w:rsidRDefault="0063032B"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Ministria e Financave </w:t>
            </w:r>
          </w:p>
        </w:tc>
        <w:tc>
          <w:tcPr>
            <w:tcW w:w="1980" w:type="dxa"/>
          </w:tcPr>
          <w:p w14:paraId="47A784B9" w14:textId="77777777" w:rsidR="003052F5" w:rsidRDefault="003052F5" w:rsidP="008671EF">
            <w:pPr>
              <w:spacing w:after="120" w:line="240" w:lineRule="auto"/>
              <w:ind w:firstLine="0"/>
              <w:jc w:val="left"/>
              <w:rPr>
                <w:rFonts w:asciiTheme="minorHAnsi" w:eastAsiaTheme="minorEastAsia" w:hAnsiTheme="minorHAnsi" w:cstheme="minorBidi"/>
                <w:szCs w:val="20"/>
                <w:lang w:val="sq-AL"/>
              </w:rPr>
            </w:pPr>
            <w:r w:rsidRPr="003052F5">
              <w:rPr>
                <w:rFonts w:asciiTheme="minorHAnsi" w:eastAsiaTheme="minorEastAsia" w:hAnsiTheme="minorHAnsi" w:cstheme="minorBidi"/>
                <w:szCs w:val="20"/>
                <w:lang w:val="sq-AL"/>
              </w:rPr>
              <w:t>Kriteret e specifikuara të përshtatshmërisë për të gjitha programet e stimujve</w:t>
            </w:r>
          </w:p>
          <w:p w14:paraId="276BF0CF" w14:textId="5606DC89" w:rsidR="003052F5" w:rsidRDefault="003052F5" w:rsidP="008671EF">
            <w:pPr>
              <w:spacing w:after="120" w:line="240" w:lineRule="auto"/>
              <w:ind w:firstLine="0"/>
              <w:jc w:val="left"/>
              <w:rPr>
                <w:rFonts w:asciiTheme="minorHAnsi" w:eastAsiaTheme="minorEastAsia" w:hAnsiTheme="minorHAnsi" w:cstheme="minorBidi"/>
                <w:szCs w:val="20"/>
                <w:lang w:val="sq-AL"/>
              </w:rPr>
            </w:pPr>
            <w:r w:rsidRPr="003052F5">
              <w:rPr>
                <w:rFonts w:asciiTheme="minorHAnsi" w:eastAsiaTheme="minorEastAsia" w:hAnsiTheme="minorHAnsi" w:cstheme="minorBidi"/>
                <w:szCs w:val="20"/>
                <w:lang w:val="sq-AL"/>
              </w:rPr>
              <w:t xml:space="preserve">Lidhje të qarta të krijuara midis programeve </w:t>
            </w:r>
            <w:r w:rsidR="00AB48B9">
              <w:rPr>
                <w:rFonts w:asciiTheme="minorHAnsi" w:eastAsiaTheme="minorEastAsia" w:hAnsiTheme="minorHAnsi" w:cstheme="minorBidi"/>
                <w:szCs w:val="20"/>
                <w:lang w:val="sq-AL"/>
              </w:rPr>
              <w:t>t</w:t>
            </w:r>
            <w:r w:rsidR="006822F7">
              <w:rPr>
                <w:rFonts w:asciiTheme="minorHAnsi" w:eastAsiaTheme="minorEastAsia" w:hAnsiTheme="minorHAnsi" w:cstheme="minorBidi"/>
                <w:szCs w:val="20"/>
                <w:lang w:val="sq-AL"/>
              </w:rPr>
              <w:t>ë</w:t>
            </w:r>
            <w:r w:rsidR="00AB48B9">
              <w:rPr>
                <w:rFonts w:asciiTheme="minorHAnsi" w:eastAsiaTheme="minorEastAsia" w:hAnsiTheme="minorHAnsi" w:cstheme="minorBidi"/>
                <w:szCs w:val="20"/>
                <w:lang w:val="sq-AL"/>
              </w:rPr>
              <w:t xml:space="preserve"> stimujve </w:t>
            </w:r>
            <w:r w:rsidRPr="003052F5">
              <w:rPr>
                <w:rFonts w:asciiTheme="minorHAnsi" w:eastAsiaTheme="minorEastAsia" w:hAnsiTheme="minorHAnsi" w:cstheme="minorBidi"/>
                <w:szCs w:val="20"/>
                <w:lang w:val="sq-AL"/>
              </w:rPr>
              <w:t>dhe objektivave specifike të politikave.</w:t>
            </w:r>
          </w:p>
          <w:p w14:paraId="13CF2F63" w14:textId="2DCEE4EF" w:rsidR="003052F5" w:rsidRDefault="003052F5" w:rsidP="008671EF">
            <w:pPr>
              <w:spacing w:after="120" w:line="240" w:lineRule="auto"/>
              <w:ind w:firstLine="0"/>
              <w:jc w:val="left"/>
              <w:rPr>
                <w:rFonts w:asciiTheme="minorHAnsi" w:eastAsiaTheme="minorEastAsia" w:hAnsiTheme="minorHAnsi" w:cstheme="minorBidi"/>
                <w:szCs w:val="20"/>
                <w:lang w:val="sq-AL"/>
              </w:rPr>
            </w:pPr>
            <w:r w:rsidRPr="003052F5">
              <w:rPr>
                <w:rFonts w:asciiTheme="minorHAnsi" w:eastAsiaTheme="minorEastAsia" w:hAnsiTheme="minorHAnsi" w:cstheme="minorBidi"/>
                <w:szCs w:val="20"/>
                <w:lang w:val="sq-AL"/>
              </w:rPr>
              <w:t>Zbatimi i një sistemi të përshtatshëm monitorimi dhe vlerësimi për çdo stimu</w:t>
            </w:r>
            <w:r w:rsidR="00BD208E">
              <w:rPr>
                <w:rFonts w:asciiTheme="minorHAnsi" w:eastAsiaTheme="minorEastAsia" w:hAnsiTheme="minorHAnsi" w:cstheme="minorBidi"/>
                <w:szCs w:val="20"/>
                <w:lang w:val="sq-AL"/>
              </w:rPr>
              <w:t>l/</w:t>
            </w:r>
            <w:proofErr w:type="spellStart"/>
            <w:r w:rsidR="00BD208E">
              <w:rPr>
                <w:rFonts w:asciiTheme="minorHAnsi" w:eastAsiaTheme="minorEastAsia" w:hAnsiTheme="minorHAnsi" w:cstheme="minorBidi"/>
                <w:szCs w:val="20"/>
                <w:lang w:val="sq-AL"/>
              </w:rPr>
              <w:t>incentiv</w:t>
            </w:r>
            <w:r w:rsidR="006822F7">
              <w:rPr>
                <w:rFonts w:asciiTheme="minorHAnsi" w:eastAsiaTheme="minorEastAsia" w:hAnsiTheme="minorHAnsi" w:cstheme="minorBidi"/>
                <w:szCs w:val="20"/>
                <w:lang w:val="sq-AL"/>
              </w:rPr>
              <w:t>ë</w:t>
            </w:r>
            <w:proofErr w:type="spellEnd"/>
            <w:r w:rsidRPr="003052F5">
              <w:rPr>
                <w:rFonts w:asciiTheme="minorHAnsi" w:eastAsiaTheme="minorEastAsia" w:hAnsiTheme="minorHAnsi" w:cstheme="minorBidi"/>
                <w:szCs w:val="20"/>
                <w:lang w:val="sq-AL"/>
              </w:rPr>
              <w:t>.</w:t>
            </w:r>
          </w:p>
          <w:p w14:paraId="4B3632E2" w14:textId="23389D92" w:rsidR="001F27B0" w:rsidRDefault="001F27B0" w:rsidP="008671EF">
            <w:pPr>
              <w:spacing w:after="120" w:line="240" w:lineRule="atLeast"/>
              <w:ind w:firstLine="0"/>
              <w:jc w:val="left"/>
              <w:rPr>
                <w:rFonts w:asciiTheme="minorHAnsi" w:eastAsiaTheme="minorEastAsia" w:hAnsiTheme="minorHAnsi" w:cstheme="minorBidi"/>
                <w:szCs w:val="20"/>
                <w:lang w:val="sq-AL"/>
              </w:rPr>
            </w:pPr>
            <w:r w:rsidRPr="001F27B0">
              <w:rPr>
                <w:rFonts w:asciiTheme="minorHAnsi" w:eastAsiaTheme="minorEastAsia" w:hAnsiTheme="minorHAnsi" w:cstheme="minorBidi"/>
                <w:szCs w:val="20"/>
                <w:lang w:val="sq-AL"/>
              </w:rPr>
              <w:t xml:space="preserve">Mbledhja e </w:t>
            </w:r>
            <w:r w:rsidR="00BD208E">
              <w:rPr>
                <w:rFonts w:asciiTheme="minorHAnsi" w:eastAsiaTheme="minorEastAsia" w:hAnsiTheme="minorHAnsi" w:cstheme="minorBidi"/>
                <w:szCs w:val="20"/>
                <w:lang w:val="sq-AL"/>
              </w:rPr>
              <w:t>t</w:t>
            </w:r>
            <w:r w:rsidR="006822F7">
              <w:rPr>
                <w:rFonts w:asciiTheme="minorHAnsi" w:eastAsiaTheme="minorEastAsia" w:hAnsiTheme="minorHAnsi" w:cstheme="minorBidi"/>
                <w:szCs w:val="20"/>
                <w:lang w:val="sq-AL"/>
              </w:rPr>
              <w:t>ë</w:t>
            </w:r>
            <w:r w:rsidR="00BD208E">
              <w:rPr>
                <w:rFonts w:asciiTheme="minorHAnsi" w:eastAsiaTheme="minorEastAsia" w:hAnsiTheme="minorHAnsi" w:cstheme="minorBidi"/>
                <w:szCs w:val="20"/>
                <w:lang w:val="sq-AL"/>
              </w:rPr>
              <w:t xml:space="preserve"> dh</w:t>
            </w:r>
            <w:r w:rsidR="006822F7">
              <w:rPr>
                <w:rFonts w:asciiTheme="minorHAnsi" w:eastAsiaTheme="minorEastAsia" w:hAnsiTheme="minorHAnsi" w:cstheme="minorBidi"/>
                <w:szCs w:val="20"/>
                <w:lang w:val="sq-AL"/>
              </w:rPr>
              <w:t>ë</w:t>
            </w:r>
            <w:r w:rsidR="00BD208E">
              <w:rPr>
                <w:rFonts w:asciiTheme="minorHAnsi" w:eastAsiaTheme="minorEastAsia" w:hAnsiTheme="minorHAnsi" w:cstheme="minorBidi"/>
                <w:szCs w:val="20"/>
                <w:lang w:val="sq-AL"/>
              </w:rPr>
              <w:t>nave t</w:t>
            </w:r>
            <w:r w:rsidR="006822F7">
              <w:rPr>
                <w:rFonts w:asciiTheme="minorHAnsi" w:eastAsiaTheme="minorEastAsia" w:hAnsiTheme="minorHAnsi" w:cstheme="minorBidi"/>
                <w:szCs w:val="20"/>
                <w:lang w:val="sq-AL"/>
              </w:rPr>
              <w:t>ë</w:t>
            </w:r>
            <w:r w:rsidR="00BD208E">
              <w:rPr>
                <w:rFonts w:asciiTheme="minorHAnsi" w:eastAsiaTheme="minorEastAsia" w:hAnsiTheme="minorHAnsi" w:cstheme="minorBidi"/>
                <w:szCs w:val="20"/>
                <w:lang w:val="sq-AL"/>
              </w:rPr>
              <w:t xml:space="preserve"> nevojshme </w:t>
            </w:r>
            <w:r w:rsidRPr="001F27B0">
              <w:rPr>
                <w:rFonts w:asciiTheme="minorHAnsi" w:eastAsiaTheme="minorEastAsia" w:hAnsiTheme="minorHAnsi" w:cstheme="minorBidi"/>
                <w:szCs w:val="20"/>
                <w:lang w:val="sq-AL"/>
              </w:rPr>
              <w:t xml:space="preserve">për të lejuar një vlerësim </w:t>
            </w:r>
            <w:proofErr w:type="spellStart"/>
            <w:r w:rsidR="00BD208E">
              <w:rPr>
                <w:rFonts w:asciiTheme="minorHAnsi" w:eastAsiaTheme="minorEastAsia" w:hAnsiTheme="minorHAnsi" w:cstheme="minorBidi"/>
                <w:szCs w:val="20"/>
                <w:lang w:val="sq-AL"/>
              </w:rPr>
              <w:lastRenderedPageBreak/>
              <w:t>kredibil</w:t>
            </w:r>
            <w:proofErr w:type="spellEnd"/>
            <w:r w:rsidRPr="001F27B0">
              <w:rPr>
                <w:rFonts w:asciiTheme="minorHAnsi" w:eastAsiaTheme="minorEastAsia" w:hAnsiTheme="minorHAnsi" w:cstheme="minorBidi"/>
                <w:szCs w:val="20"/>
                <w:lang w:val="sq-AL"/>
              </w:rPr>
              <w:t>.</w:t>
            </w:r>
          </w:p>
          <w:p w14:paraId="4D8D44E0" w14:textId="301E55F4" w:rsidR="008671EF" w:rsidRPr="009A66BD" w:rsidRDefault="001F27B0" w:rsidP="00BD208E">
            <w:pPr>
              <w:spacing w:after="120" w:line="240" w:lineRule="atLeast"/>
              <w:ind w:firstLine="0"/>
              <w:jc w:val="left"/>
              <w:rPr>
                <w:rFonts w:asciiTheme="minorHAnsi" w:eastAsia="Calibri" w:hAnsiTheme="minorHAnsi" w:cstheme="minorHAnsi"/>
                <w:lang w:val="sq-AL"/>
              </w:rPr>
            </w:pPr>
            <w:r w:rsidRPr="001F27B0">
              <w:rPr>
                <w:rFonts w:asciiTheme="minorHAnsi" w:eastAsiaTheme="minorEastAsia" w:hAnsiTheme="minorHAnsi" w:cstheme="minorBidi"/>
                <w:szCs w:val="20"/>
                <w:lang w:val="sq-AL"/>
              </w:rPr>
              <w:t xml:space="preserve">Publikimi i rezultateve </w:t>
            </w:r>
            <w:r w:rsidR="00BD208E">
              <w:rPr>
                <w:rFonts w:asciiTheme="minorHAnsi" w:eastAsiaTheme="minorEastAsia" w:hAnsiTheme="minorHAnsi" w:cstheme="minorBidi"/>
                <w:szCs w:val="20"/>
                <w:lang w:val="sq-AL"/>
              </w:rPr>
              <w:t>në gazetën zyrtare ose publikim tjet</w:t>
            </w:r>
            <w:r w:rsidR="006822F7">
              <w:rPr>
                <w:rFonts w:asciiTheme="minorHAnsi" w:eastAsiaTheme="minorEastAsia" w:hAnsiTheme="minorHAnsi" w:cstheme="minorBidi"/>
                <w:szCs w:val="20"/>
                <w:lang w:val="sq-AL"/>
              </w:rPr>
              <w:t>ë</w:t>
            </w:r>
            <w:r w:rsidR="00BD208E">
              <w:rPr>
                <w:rFonts w:asciiTheme="minorHAnsi" w:eastAsiaTheme="minorEastAsia" w:hAnsiTheme="minorHAnsi" w:cstheme="minorBidi"/>
                <w:szCs w:val="20"/>
                <w:lang w:val="sq-AL"/>
              </w:rPr>
              <w:t xml:space="preserve">r </w:t>
            </w:r>
            <w:r w:rsidRPr="001F27B0">
              <w:rPr>
                <w:rFonts w:asciiTheme="minorHAnsi" w:eastAsiaTheme="minorEastAsia" w:hAnsiTheme="minorHAnsi" w:cstheme="minorBidi"/>
                <w:szCs w:val="20"/>
                <w:lang w:val="sq-AL"/>
              </w:rPr>
              <w:t xml:space="preserve"> relevant të ministrisë.</w:t>
            </w:r>
          </w:p>
        </w:tc>
        <w:tc>
          <w:tcPr>
            <w:tcW w:w="1080" w:type="dxa"/>
          </w:tcPr>
          <w:p w14:paraId="3F9821E9" w14:textId="576ED84F" w:rsidR="008671EF" w:rsidRPr="009A66BD" w:rsidRDefault="008D5E84" w:rsidP="008671EF">
            <w:pPr>
              <w:spacing w:after="120" w:line="240" w:lineRule="auto"/>
              <w:ind w:firstLine="0"/>
              <w:jc w:val="left"/>
              <w:rPr>
                <w:rFonts w:asciiTheme="minorHAnsi" w:eastAsiaTheme="minorEastAsia" w:hAnsiTheme="minorHAnsi" w:cstheme="minorHAnsi"/>
                <w:lang w:val="sq-AL"/>
              </w:rPr>
            </w:pPr>
            <w:r>
              <w:rPr>
                <w:rFonts w:asciiTheme="minorHAnsi" w:eastAsiaTheme="minorEastAsia" w:hAnsiTheme="minorHAnsi" w:cstheme="minorBidi"/>
                <w:szCs w:val="20"/>
                <w:lang w:val="sq-AL"/>
              </w:rPr>
              <w:lastRenderedPageBreak/>
              <w:t>GBB</w:t>
            </w:r>
            <w:r w:rsidR="00470679" w:rsidRPr="009A66BD">
              <w:rPr>
                <w:rFonts w:asciiTheme="minorHAnsi" w:eastAsiaTheme="minorEastAsia" w:hAnsiTheme="minorHAnsi" w:cstheme="minorBidi"/>
                <w:szCs w:val="20"/>
                <w:lang w:val="sq-AL"/>
              </w:rPr>
              <w:t xml:space="preserve"> - BP PPI</w:t>
            </w:r>
          </w:p>
        </w:tc>
        <w:tc>
          <w:tcPr>
            <w:tcW w:w="4508" w:type="dxa"/>
          </w:tcPr>
          <w:p w14:paraId="4A59CDFF" w14:textId="77777777" w:rsidR="008671EF" w:rsidRPr="009A66BD" w:rsidRDefault="008671EF" w:rsidP="008671EF">
            <w:pPr>
              <w:spacing w:after="120" w:line="240" w:lineRule="auto"/>
              <w:ind w:firstLine="0"/>
              <w:jc w:val="left"/>
              <w:rPr>
                <w:rFonts w:asciiTheme="minorHAnsi" w:eastAsiaTheme="minorEastAsia" w:hAnsiTheme="minorHAnsi" w:cstheme="minorHAnsi"/>
                <w:szCs w:val="20"/>
                <w:lang w:val="sq-AL"/>
              </w:rPr>
            </w:pPr>
          </w:p>
        </w:tc>
      </w:tr>
      <w:tr w:rsidR="008671EF" w:rsidRPr="009A66BD" w14:paraId="7B892905" w14:textId="77777777" w:rsidTr="00D43D3C">
        <w:trPr>
          <w:cnfStyle w:val="000000100000" w:firstRow="0" w:lastRow="0" w:firstColumn="0" w:lastColumn="0" w:oddVBand="0" w:evenVBand="0" w:oddHBand="1" w:evenHBand="0" w:firstRowFirstColumn="0" w:firstRowLastColumn="0" w:lastRowFirstColumn="0" w:lastRowLastColumn="0"/>
          <w:trHeight w:val="1015"/>
        </w:trPr>
        <w:tc>
          <w:tcPr>
            <w:tcW w:w="2335" w:type="dxa"/>
            <w:vMerge/>
          </w:tcPr>
          <w:p w14:paraId="319916FA" w14:textId="77777777" w:rsidR="008671EF" w:rsidRPr="009A66BD" w:rsidRDefault="008671EF" w:rsidP="008671EF">
            <w:pPr>
              <w:spacing w:after="120" w:line="240" w:lineRule="auto"/>
              <w:ind w:firstLine="0"/>
              <w:jc w:val="left"/>
              <w:rPr>
                <w:rFonts w:asciiTheme="minorHAnsi" w:eastAsiaTheme="minorHAnsi" w:hAnsiTheme="minorHAnsi" w:cstheme="minorHAnsi"/>
                <w:szCs w:val="20"/>
                <w:lang w:val="sq-AL"/>
              </w:rPr>
            </w:pPr>
          </w:p>
        </w:tc>
        <w:tc>
          <w:tcPr>
            <w:tcW w:w="2610" w:type="dxa"/>
          </w:tcPr>
          <w:p w14:paraId="5588CA2D" w14:textId="6647230C" w:rsidR="008671EF" w:rsidRPr="009A66BD" w:rsidRDefault="008671EF" w:rsidP="00BD208E">
            <w:pPr>
              <w:spacing w:after="120" w:line="240" w:lineRule="auto"/>
              <w:ind w:firstLine="0"/>
              <w:jc w:val="left"/>
              <w:rPr>
                <w:rFonts w:asciiTheme="minorHAnsi" w:eastAsiaTheme="minorEastAsia" w:hAnsiTheme="minorHAnsi" w:cstheme="minorHAnsi"/>
                <w:szCs w:val="20"/>
                <w:lang w:val="sq-AL"/>
              </w:rPr>
            </w:pPr>
            <w:r w:rsidRPr="009A66BD">
              <w:rPr>
                <w:rFonts w:asciiTheme="minorHAnsi" w:eastAsiaTheme="minorEastAsia" w:hAnsiTheme="minorHAnsi" w:cstheme="minorHAnsi"/>
                <w:szCs w:val="20"/>
                <w:lang w:val="sq-AL"/>
              </w:rPr>
              <w:t xml:space="preserve">6.4.3 </w:t>
            </w:r>
            <w:r w:rsidR="00E540D4" w:rsidRPr="00E540D4">
              <w:rPr>
                <w:rFonts w:asciiTheme="minorHAnsi" w:eastAsiaTheme="minorEastAsia" w:hAnsiTheme="minorHAnsi" w:cstheme="minorBidi"/>
                <w:szCs w:val="20"/>
                <w:lang w:val="sq-AL"/>
              </w:rPr>
              <w:t xml:space="preserve">Angazhimi në analizën kosto-përfitim të programeve </w:t>
            </w:r>
            <w:r w:rsidR="00BD208E">
              <w:rPr>
                <w:rFonts w:asciiTheme="minorHAnsi" w:eastAsiaTheme="minorEastAsia" w:hAnsiTheme="minorHAnsi" w:cstheme="minorBidi"/>
                <w:szCs w:val="20"/>
                <w:lang w:val="sq-AL"/>
              </w:rPr>
              <w:t>t</w:t>
            </w:r>
            <w:r w:rsidR="006822F7">
              <w:rPr>
                <w:rFonts w:asciiTheme="minorHAnsi" w:eastAsiaTheme="minorEastAsia" w:hAnsiTheme="minorHAnsi" w:cstheme="minorBidi"/>
                <w:szCs w:val="20"/>
                <w:lang w:val="sq-AL"/>
              </w:rPr>
              <w:t>ë</w:t>
            </w:r>
            <w:r w:rsidR="00BD208E">
              <w:rPr>
                <w:rFonts w:asciiTheme="minorHAnsi" w:eastAsiaTheme="minorEastAsia" w:hAnsiTheme="minorHAnsi" w:cstheme="minorBidi"/>
                <w:szCs w:val="20"/>
                <w:lang w:val="sq-AL"/>
              </w:rPr>
              <w:t xml:space="preserve"> stimujve n</w:t>
            </w:r>
            <w:r w:rsidR="00E540D4" w:rsidRPr="00E540D4">
              <w:rPr>
                <w:rFonts w:asciiTheme="minorHAnsi" w:eastAsiaTheme="minorEastAsia" w:hAnsiTheme="minorHAnsi" w:cstheme="minorBidi"/>
                <w:szCs w:val="20"/>
                <w:lang w:val="sq-AL"/>
              </w:rPr>
              <w:t xml:space="preserve">ë mënyrë të vazhdueshme për të informuar vendimet e politikave mbi programin </w:t>
            </w:r>
            <w:r w:rsidR="00BD208E">
              <w:rPr>
                <w:rFonts w:asciiTheme="minorHAnsi" w:eastAsiaTheme="minorEastAsia" w:hAnsiTheme="minorHAnsi" w:cstheme="minorBidi"/>
                <w:szCs w:val="20"/>
                <w:lang w:val="sq-AL"/>
              </w:rPr>
              <w:t>dhe</w:t>
            </w:r>
            <w:r w:rsidR="00E540D4" w:rsidRPr="00E540D4">
              <w:rPr>
                <w:rFonts w:asciiTheme="minorHAnsi" w:eastAsiaTheme="minorEastAsia" w:hAnsiTheme="minorHAnsi" w:cstheme="minorBidi"/>
                <w:szCs w:val="20"/>
                <w:lang w:val="sq-AL"/>
              </w:rPr>
              <w:t xml:space="preserve"> dizajnin e stimujve</w:t>
            </w:r>
            <w:bookmarkStart w:id="12" w:name="_GoBack"/>
            <w:bookmarkEnd w:id="12"/>
          </w:p>
        </w:tc>
        <w:tc>
          <w:tcPr>
            <w:tcW w:w="900" w:type="dxa"/>
          </w:tcPr>
          <w:p w14:paraId="7BC10725" w14:textId="56B527C4" w:rsidR="008671EF" w:rsidRPr="009A66BD" w:rsidRDefault="0066150C"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Dhjetor </w:t>
            </w:r>
            <w:r w:rsidR="008671EF" w:rsidRPr="009A66BD">
              <w:rPr>
                <w:rFonts w:asciiTheme="minorHAnsi" w:eastAsiaTheme="minorEastAsia" w:hAnsiTheme="minorHAnsi" w:cstheme="minorHAnsi"/>
                <w:lang w:val="sq-AL"/>
              </w:rPr>
              <w:t>2019</w:t>
            </w:r>
          </w:p>
        </w:tc>
        <w:tc>
          <w:tcPr>
            <w:tcW w:w="1260" w:type="dxa"/>
          </w:tcPr>
          <w:p w14:paraId="1873FBB9" w14:textId="0226A66D" w:rsidR="008671EF" w:rsidRPr="009A66BD" w:rsidRDefault="0063032B"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 xml:space="preserve">Ministria e Financave </w:t>
            </w:r>
          </w:p>
        </w:tc>
        <w:tc>
          <w:tcPr>
            <w:tcW w:w="1980" w:type="dxa"/>
          </w:tcPr>
          <w:p w14:paraId="1599CA52" w14:textId="03270823" w:rsidR="00F0376C" w:rsidRDefault="00F0376C" w:rsidP="008671EF">
            <w:pPr>
              <w:spacing w:after="120" w:line="240" w:lineRule="auto"/>
              <w:ind w:firstLine="0"/>
              <w:jc w:val="left"/>
              <w:rPr>
                <w:rFonts w:asciiTheme="minorHAnsi" w:eastAsiaTheme="minorEastAsia" w:hAnsiTheme="minorHAnsi" w:cstheme="minorHAnsi"/>
                <w:lang w:val="sq-AL"/>
              </w:rPr>
            </w:pPr>
            <w:r w:rsidRPr="00F0376C">
              <w:rPr>
                <w:rFonts w:asciiTheme="minorHAnsi" w:eastAsiaTheme="minorEastAsia" w:hAnsiTheme="minorHAnsi" w:cstheme="minorHAnsi"/>
                <w:lang w:val="sq-AL"/>
              </w:rPr>
              <w:t>Instrumenti VNR</w:t>
            </w:r>
            <w:r w:rsidR="00BD208E">
              <w:rPr>
                <w:rFonts w:asciiTheme="minorHAnsi" w:eastAsiaTheme="minorEastAsia" w:hAnsiTheme="minorHAnsi" w:cstheme="minorHAnsi"/>
                <w:lang w:val="sq-AL"/>
              </w:rPr>
              <w:t xml:space="preserve"> (RIA)</w:t>
            </w:r>
            <w:r w:rsidRPr="00F0376C">
              <w:rPr>
                <w:rFonts w:asciiTheme="minorHAnsi" w:eastAsiaTheme="minorEastAsia" w:hAnsiTheme="minorHAnsi" w:cstheme="minorHAnsi"/>
                <w:lang w:val="sq-AL"/>
              </w:rPr>
              <w:t xml:space="preserve"> i aplikuar për analizën </w:t>
            </w:r>
            <w:proofErr w:type="spellStart"/>
            <w:r w:rsidRPr="00F0376C">
              <w:rPr>
                <w:rFonts w:asciiTheme="minorHAnsi" w:eastAsiaTheme="minorEastAsia" w:hAnsiTheme="minorHAnsi" w:cstheme="minorHAnsi"/>
                <w:lang w:val="sq-AL"/>
              </w:rPr>
              <w:t>ex</w:t>
            </w:r>
            <w:proofErr w:type="spellEnd"/>
            <w:r w:rsidRPr="00F0376C">
              <w:rPr>
                <w:rFonts w:asciiTheme="minorHAnsi" w:eastAsiaTheme="minorEastAsia" w:hAnsiTheme="minorHAnsi" w:cstheme="minorHAnsi"/>
                <w:lang w:val="sq-AL"/>
              </w:rPr>
              <w:t xml:space="preserve">-post kosto-përfitim </w:t>
            </w:r>
            <w:r w:rsidR="00BD208E">
              <w:rPr>
                <w:rFonts w:asciiTheme="minorHAnsi" w:eastAsiaTheme="minorEastAsia" w:hAnsiTheme="minorHAnsi" w:cstheme="minorHAnsi"/>
                <w:lang w:val="sq-AL"/>
              </w:rPr>
              <w:t xml:space="preserve">të stimujve të investimeve dhe </w:t>
            </w:r>
            <w:r w:rsidRPr="00F0376C">
              <w:rPr>
                <w:rFonts w:asciiTheme="minorHAnsi" w:eastAsiaTheme="minorEastAsia" w:hAnsiTheme="minorHAnsi" w:cstheme="minorHAnsi"/>
                <w:lang w:val="sq-AL"/>
              </w:rPr>
              <w:t xml:space="preserve"> Koncept Dokumenti</w:t>
            </w:r>
            <w:r w:rsidR="00BD208E">
              <w:rPr>
                <w:rFonts w:asciiTheme="minorHAnsi" w:eastAsiaTheme="minorEastAsia" w:hAnsiTheme="minorHAnsi" w:cstheme="minorHAnsi"/>
                <w:lang w:val="sq-AL"/>
              </w:rPr>
              <w:t xml:space="preserve">  i zhvilluar</w:t>
            </w:r>
            <w:r w:rsidRPr="00F0376C">
              <w:rPr>
                <w:rFonts w:asciiTheme="minorHAnsi" w:eastAsiaTheme="minorEastAsia" w:hAnsiTheme="minorHAnsi" w:cstheme="minorHAnsi"/>
                <w:lang w:val="sq-AL"/>
              </w:rPr>
              <w:t xml:space="preserve">  për çdo stimu</w:t>
            </w:r>
            <w:r w:rsidR="00BD208E">
              <w:rPr>
                <w:rFonts w:asciiTheme="minorHAnsi" w:eastAsiaTheme="minorEastAsia" w:hAnsiTheme="minorHAnsi" w:cstheme="minorHAnsi"/>
                <w:lang w:val="sq-AL"/>
              </w:rPr>
              <w:t>j</w:t>
            </w:r>
            <w:r w:rsidRPr="00F0376C">
              <w:rPr>
                <w:rFonts w:asciiTheme="minorHAnsi" w:eastAsiaTheme="minorEastAsia" w:hAnsiTheme="minorHAnsi" w:cstheme="minorHAnsi"/>
                <w:lang w:val="sq-AL"/>
              </w:rPr>
              <w:t xml:space="preserve"> të ri </w:t>
            </w:r>
          </w:p>
          <w:p w14:paraId="348CB17D" w14:textId="0F65550B" w:rsidR="008671EF" w:rsidRPr="009A66BD" w:rsidRDefault="00F0376C" w:rsidP="00BA448F">
            <w:pPr>
              <w:spacing w:after="120" w:line="240" w:lineRule="auto"/>
              <w:ind w:firstLine="0"/>
              <w:jc w:val="left"/>
              <w:rPr>
                <w:rFonts w:asciiTheme="minorHAnsi" w:eastAsia="Calibri" w:hAnsiTheme="minorHAnsi" w:cstheme="minorHAnsi"/>
                <w:lang w:val="sq-AL"/>
              </w:rPr>
            </w:pPr>
            <w:r w:rsidRPr="00F0376C">
              <w:rPr>
                <w:rFonts w:asciiTheme="minorHAnsi" w:eastAsia="Calibri" w:hAnsiTheme="minorHAnsi" w:cstheme="minorHAnsi"/>
                <w:lang w:val="sq-AL"/>
              </w:rPr>
              <w:t>Rezultatet publikohen në gazetën zyrtare ose publikim tje</w:t>
            </w:r>
            <w:r w:rsidR="00BA448F">
              <w:rPr>
                <w:rFonts w:asciiTheme="minorHAnsi" w:eastAsia="Calibri" w:hAnsiTheme="minorHAnsi" w:cstheme="minorHAnsi"/>
                <w:lang w:val="sq-AL"/>
              </w:rPr>
              <w:t>t</w:t>
            </w:r>
            <w:r w:rsidR="006822F7">
              <w:rPr>
                <w:rFonts w:asciiTheme="minorHAnsi" w:eastAsia="Calibri" w:hAnsiTheme="minorHAnsi" w:cstheme="minorHAnsi"/>
                <w:lang w:val="sq-AL"/>
              </w:rPr>
              <w:t>ë</w:t>
            </w:r>
            <w:r w:rsidR="00BA448F">
              <w:rPr>
                <w:rFonts w:asciiTheme="minorHAnsi" w:eastAsia="Calibri" w:hAnsiTheme="minorHAnsi" w:cstheme="minorHAnsi"/>
                <w:lang w:val="sq-AL"/>
              </w:rPr>
              <w:t xml:space="preserve">r </w:t>
            </w:r>
            <w:r w:rsidRPr="00F0376C">
              <w:rPr>
                <w:rFonts w:asciiTheme="minorHAnsi" w:eastAsia="Calibri" w:hAnsiTheme="minorHAnsi" w:cstheme="minorHAnsi"/>
                <w:lang w:val="sq-AL"/>
              </w:rPr>
              <w:t>të ministrisë përkatëse</w:t>
            </w:r>
            <w:r w:rsidR="008671EF" w:rsidRPr="009A66BD">
              <w:rPr>
                <w:rFonts w:asciiTheme="minorHAnsi" w:eastAsia="Calibri" w:hAnsiTheme="minorHAnsi" w:cstheme="minorHAnsi"/>
                <w:lang w:val="sq-AL"/>
              </w:rPr>
              <w:t>.</w:t>
            </w:r>
          </w:p>
        </w:tc>
        <w:tc>
          <w:tcPr>
            <w:tcW w:w="1080" w:type="dxa"/>
          </w:tcPr>
          <w:p w14:paraId="1481D49D" w14:textId="086D9CE4" w:rsidR="008671EF" w:rsidRPr="009A66BD" w:rsidRDefault="00470679" w:rsidP="008671EF">
            <w:pPr>
              <w:spacing w:after="120" w:line="240" w:lineRule="auto"/>
              <w:ind w:firstLine="0"/>
              <w:jc w:val="left"/>
              <w:rPr>
                <w:rFonts w:asciiTheme="minorHAnsi" w:eastAsiaTheme="minorEastAsia" w:hAnsiTheme="minorHAnsi" w:cstheme="minorHAnsi"/>
                <w:lang w:val="sq-AL"/>
              </w:rPr>
            </w:pPr>
            <w:r w:rsidRPr="009A66BD">
              <w:rPr>
                <w:rFonts w:asciiTheme="minorHAnsi" w:eastAsiaTheme="minorEastAsia" w:hAnsiTheme="minorHAnsi" w:cstheme="minorHAnsi"/>
                <w:lang w:val="sq-AL"/>
              </w:rPr>
              <w:t>Po</w:t>
            </w:r>
          </w:p>
        </w:tc>
        <w:tc>
          <w:tcPr>
            <w:tcW w:w="4508" w:type="dxa"/>
          </w:tcPr>
          <w:p w14:paraId="53C65A75" w14:textId="6D2BC44F" w:rsidR="008671EF" w:rsidRPr="009A66BD" w:rsidRDefault="008671EF" w:rsidP="008671EF">
            <w:pPr>
              <w:spacing w:after="120" w:line="240" w:lineRule="auto"/>
              <w:ind w:firstLine="0"/>
              <w:jc w:val="left"/>
              <w:rPr>
                <w:rFonts w:asciiTheme="minorHAnsi" w:eastAsiaTheme="minorEastAsia" w:hAnsiTheme="minorHAnsi" w:cstheme="minorHAnsi"/>
                <w:szCs w:val="20"/>
                <w:lang w:val="sq-AL"/>
              </w:rPr>
            </w:pPr>
          </w:p>
        </w:tc>
      </w:tr>
    </w:tbl>
    <w:p w14:paraId="6CC45353" w14:textId="5EC15D53" w:rsidR="00B95117" w:rsidRPr="009A66BD" w:rsidRDefault="00B95117" w:rsidP="004B36FA">
      <w:pPr>
        <w:spacing w:after="160" w:line="259" w:lineRule="auto"/>
        <w:ind w:firstLine="0"/>
        <w:rPr>
          <w:rFonts w:asciiTheme="minorHAnsi" w:eastAsia="SimSun" w:hAnsiTheme="minorHAnsi" w:cstheme="minorHAnsi"/>
          <w:sz w:val="22"/>
          <w:szCs w:val="18"/>
          <w:lang w:val="sq-AL" w:eastAsia="zh-CN"/>
        </w:rPr>
      </w:pPr>
    </w:p>
    <w:p w14:paraId="00CB87D4" w14:textId="7B493CAA" w:rsidR="00200089" w:rsidRPr="009A66BD" w:rsidRDefault="00200089" w:rsidP="001B1346">
      <w:pPr>
        <w:spacing w:after="160" w:line="259" w:lineRule="auto"/>
        <w:ind w:firstLine="0"/>
        <w:jc w:val="left"/>
        <w:rPr>
          <w:rFonts w:asciiTheme="minorHAnsi" w:eastAsia="SimSun" w:hAnsiTheme="minorHAnsi" w:cstheme="minorHAnsi"/>
          <w:sz w:val="22"/>
          <w:szCs w:val="18"/>
          <w:lang w:val="sq-AL" w:eastAsia="zh-CN"/>
        </w:rPr>
        <w:sectPr w:rsidR="00200089" w:rsidRPr="009A66BD" w:rsidSect="003F4124">
          <w:headerReference w:type="default" r:id="rId16"/>
          <w:footerReference w:type="default" r:id="rId17"/>
          <w:pgSz w:w="16838" w:h="11906" w:orient="landscape" w:code="9"/>
          <w:pgMar w:top="1440" w:right="1080" w:bottom="1440" w:left="1080" w:header="720" w:footer="720" w:gutter="0"/>
          <w:cols w:space="720"/>
          <w:docGrid w:linePitch="360"/>
        </w:sectPr>
      </w:pPr>
    </w:p>
    <w:p w14:paraId="46D6D847" w14:textId="6C6A2CA0" w:rsidR="00C422E9" w:rsidRPr="009A66BD" w:rsidRDefault="00574938" w:rsidP="00C422E9">
      <w:pPr>
        <w:spacing w:after="160" w:line="259" w:lineRule="auto"/>
        <w:ind w:firstLine="0"/>
        <w:rPr>
          <w:rFonts w:ascii="Calibri" w:eastAsia="SimSun" w:hAnsi="Calibri" w:cs="Arial"/>
          <w:b/>
          <w:sz w:val="28"/>
          <w:szCs w:val="18"/>
          <w:lang w:val="sq-AL" w:eastAsia="zh-CN"/>
        </w:rPr>
      </w:pPr>
      <w:r w:rsidRPr="00574938">
        <w:rPr>
          <w:b/>
          <w:sz w:val="28"/>
          <w:lang w:val="sq-AL"/>
        </w:rPr>
        <w:lastRenderedPageBreak/>
        <w:t xml:space="preserve">Shtojca - Përshkrimi shtesë i Veprimeve të </w:t>
      </w:r>
      <w:r w:rsidR="00BA448F">
        <w:rPr>
          <w:b/>
          <w:sz w:val="28"/>
          <w:lang w:val="sq-AL"/>
        </w:rPr>
        <w:t>p</w:t>
      </w:r>
      <w:r w:rsidR="006822F7">
        <w:rPr>
          <w:b/>
          <w:sz w:val="28"/>
          <w:lang w:val="sq-AL"/>
        </w:rPr>
        <w:t>ë</w:t>
      </w:r>
      <w:r w:rsidR="00BA448F">
        <w:rPr>
          <w:b/>
          <w:sz w:val="28"/>
          <w:lang w:val="sq-AL"/>
        </w:rPr>
        <w:t>r</w:t>
      </w:r>
      <w:r w:rsidRPr="00574938">
        <w:rPr>
          <w:b/>
          <w:sz w:val="28"/>
          <w:lang w:val="sq-AL"/>
        </w:rPr>
        <w:t>zgjedhura të PVRI-së</w:t>
      </w:r>
    </w:p>
    <w:p w14:paraId="3B33EA05" w14:textId="1E45062D" w:rsidR="00C422E9" w:rsidRPr="009A66BD" w:rsidRDefault="00BA448F" w:rsidP="00C422E9">
      <w:pPr>
        <w:spacing w:after="160" w:line="259" w:lineRule="auto"/>
        <w:ind w:firstLine="0"/>
        <w:rPr>
          <w:rFonts w:ascii="Calibri" w:eastAsia="SimSun" w:hAnsi="Calibri" w:cs="Arial"/>
          <w:sz w:val="22"/>
          <w:szCs w:val="18"/>
          <w:u w:val="single"/>
          <w:lang w:val="sq-AL" w:eastAsia="zh-CN"/>
        </w:rPr>
      </w:pPr>
      <w:r>
        <w:rPr>
          <w:rFonts w:ascii="Calibri" w:eastAsia="SimSun" w:hAnsi="Calibri" w:cs="Arial"/>
          <w:sz w:val="22"/>
          <w:szCs w:val="18"/>
          <w:u w:val="single"/>
          <w:lang w:val="sq-AL" w:eastAsia="zh-CN"/>
        </w:rPr>
        <w:t xml:space="preserve">Veprimi </w:t>
      </w:r>
      <w:r w:rsidR="00574938" w:rsidRPr="00574938">
        <w:rPr>
          <w:rFonts w:ascii="Calibri" w:eastAsia="SimSun" w:hAnsi="Calibri" w:cs="Arial"/>
          <w:sz w:val="22"/>
          <w:szCs w:val="18"/>
          <w:u w:val="single"/>
          <w:lang w:val="sq-AL" w:eastAsia="zh-CN"/>
        </w:rPr>
        <w:t xml:space="preserve">1.1.2 </w:t>
      </w:r>
      <w:r w:rsidR="004E5FD2">
        <w:rPr>
          <w:rFonts w:ascii="Calibri" w:eastAsia="SimSun" w:hAnsi="Calibri" w:cs="Arial"/>
          <w:sz w:val="22"/>
          <w:szCs w:val="18"/>
          <w:u w:val="single"/>
          <w:lang w:val="sq-AL" w:eastAsia="zh-CN"/>
        </w:rPr>
        <w:t>i</w:t>
      </w:r>
      <w:r w:rsidR="00574938" w:rsidRPr="00574938">
        <w:rPr>
          <w:rFonts w:ascii="Calibri" w:eastAsia="SimSun" w:hAnsi="Calibri" w:cs="Arial"/>
          <w:sz w:val="22"/>
          <w:szCs w:val="18"/>
          <w:u w:val="single"/>
          <w:lang w:val="sq-AL" w:eastAsia="zh-CN"/>
        </w:rPr>
        <w:t xml:space="preserve"> PVRI-së</w:t>
      </w:r>
      <w:r w:rsidR="00C422E9" w:rsidRPr="009A66BD">
        <w:rPr>
          <w:rFonts w:ascii="Calibri" w:eastAsia="SimSun" w:hAnsi="Calibri" w:cs="Arial"/>
          <w:sz w:val="22"/>
          <w:szCs w:val="18"/>
          <w:u w:val="single"/>
          <w:lang w:val="sq-AL" w:eastAsia="zh-CN"/>
        </w:rPr>
        <w:t>.</w:t>
      </w:r>
    </w:p>
    <w:p w14:paraId="51A58D91" w14:textId="4706E192" w:rsidR="00C422E9" w:rsidRPr="009A66BD" w:rsidRDefault="00927044" w:rsidP="00C422E9">
      <w:pPr>
        <w:spacing w:after="120" w:line="254" w:lineRule="auto"/>
        <w:ind w:firstLine="0"/>
        <w:rPr>
          <w:rFonts w:asciiTheme="minorHAnsi" w:eastAsia="Batang" w:hAnsiTheme="minorHAnsi" w:cstheme="minorHAnsi"/>
          <w:sz w:val="22"/>
          <w:szCs w:val="22"/>
          <w:lang w:val="sq-AL"/>
        </w:rPr>
      </w:pPr>
      <w:r>
        <w:rPr>
          <w:rFonts w:asciiTheme="minorHAnsi" w:eastAsia="Batang" w:hAnsiTheme="minorHAnsi" w:cstheme="minorHAnsi"/>
          <w:sz w:val="22"/>
          <w:szCs w:val="22"/>
          <w:lang w:val="sq-AL"/>
        </w:rPr>
        <w:t>Analiza e</w:t>
      </w:r>
      <w:r w:rsidRPr="00927044">
        <w:rPr>
          <w:rFonts w:asciiTheme="minorHAnsi" w:eastAsia="Batang" w:hAnsiTheme="minorHAnsi" w:cstheme="minorHAnsi"/>
          <w:sz w:val="22"/>
          <w:szCs w:val="22"/>
          <w:lang w:val="sq-AL"/>
        </w:rPr>
        <w:t xml:space="preserve"> </w:t>
      </w:r>
      <w:r w:rsidR="00BA448F">
        <w:rPr>
          <w:rFonts w:asciiTheme="minorHAnsi" w:eastAsia="Batang" w:hAnsiTheme="minorHAnsi" w:cstheme="minorHAnsi"/>
          <w:sz w:val="22"/>
          <w:szCs w:val="22"/>
          <w:lang w:val="sq-AL"/>
        </w:rPr>
        <w:t>Hendekut/boshll</w:t>
      </w:r>
      <w:r w:rsidR="006822F7">
        <w:rPr>
          <w:rFonts w:asciiTheme="minorHAnsi" w:eastAsia="Batang" w:hAnsiTheme="minorHAnsi" w:cstheme="minorHAnsi"/>
          <w:sz w:val="22"/>
          <w:szCs w:val="22"/>
          <w:lang w:val="sq-AL"/>
        </w:rPr>
        <w:t>ë</w:t>
      </w:r>
      <w:r w:rsidR="00BA448F">
        <w:rPr>
          <w:rFonts w:asciiTheme="minorHAnsi" w:eastAsia="Batang" w:hAnsiTheme="minorHAnsi" w:cstheme="minorHAnsi"/>
          <w:sz w:val="22"/>
          <w:szCs w:val="22"/>
          <w:lang w:val="sq-AL"/>
        </w:rPr>
        <w:t xml:space="preserve">kut </w:t>
      </w:r>
      <w:r w:rsidRPr="00927044">
        <w:rPr>
          <w:rFonts w:asciiTheme="minorHAnsi" w:eastAsia="Batang" w:hAnsiTheme="minorHAnsi" w:cstheme="minorHAnsi"/>
          <w:sz w:val="22"/>
          <w:szCs w:val="22"/>
          <w:lang w:val="sq-AL"/>
        </w:rPr>
        <w:t>të Hyrje</w:t>
      </w:r>
      <w:r w:rsidR="00BA448F">
        <w:rPr>
          <w:rFonts w:asciiTheme="minorHAnsi" w:eastAsia="Batang" w:hAnsiTheme="minorHAnsi" w:cstheme="minorHAnsi"/>
          <w:sz w:val="22"/>
          <w:szCs w:val="22"/>
          <w:lang w:val="sq-AL"/>
        </w:rPr>
        <w:t xml:space="preserve">s </w:t>
      </w:r>
      <w:r w:rsidR="00B52A0C" w:rsidRPr="00B52A0C">
        <w:rPr>
          <w:rFonts w:asciiTheme="minorHAnsi" w:eastAsia="Batang" w:hAnsiTheme="minorHAnsi" w:cstheme="minorHAnsi"/>
          <w:sz w:val="22"/>
          <w:szCs w:val="22"/>
          <w:lang w:val="sq-AL"/>
        </w:rPr>
        <w:t xml:space="preserve">do të përfshijë shqyrtimin </w:t>
      </w:r>
      <w:r w:rsidR="004E5FD2">
        <w:rPr>
          <w:rFonts w:asciiTheme="minorHAnsi" w:eastAsia="Batang" w:hAnsiTheme="minorHAnsi" w:cstheme="minorHAnsi"/>
          <w:sz w:val="22"/>
          <w:szCs w:val="22"/>
          <w:lang w:val="sq-AL"/>
        </w:rPr>
        <w:t>gjith</w:t>
      </w:r>
      <w:r w:rsidR="006822F7">
        <w:rPr>
          <w:rFonts w:asciiTheme="minorHAnsi" w:eastAsia="Batang" w:hAnsiTheme="minorHAnsi" w:cstheme="minorHAnsi"/>
          <w:sz w:val="22"/>
          <w:szCs w:val="22"/>
          <w:lang w:val="sq-AL"/>
        </w:rPr>
        <w:t>ë</w:t>
      </w:r>
      <w:r w:rsidR="004E5FD2">
        <w:rPr>
          <w:rFonts w:asciiTheme="minorHAnsi" w:eastAsia="Batang" w:hAnsiTheme="minorHAnsi" w:cstheme="minorHAnsi"/>
          <w:sz w:val="22"/>
          <w:szCs w:val="22"/>
          <w:lang w:val="sq-AL"/>
        </w:rPr>
        <w:t>p</w:t>
      </w:r>
      <w:r w:rsidR="006822F7">
        <w:rPr>
          <w:rFonts w:asciiTheme="minorHAnsi" w:eastAsia="Batang" w:hAnsiTheme="minorHAnsi" w:cstheme="minorHAnsi"/>
          <w:sz w:val="22"/>
          <w:szCs w:val="22"/>
          <w:lang w:val="sq-AL"/>
        </w:rPr>
        <w:t>ë</w:t>
      </w:r>
      <w:r w:rsidR="004E5FD2">
        <w:rPr>
          <w:rFonts w:asciiTheme="minorHAnsi" w:eastAsia="Batang" w:hAnsiTheme="minorHAnsi" w:cstheme="minorHAnsi"/>
          <w:sz w:val="22"/>
          <w:szCs w:val="22"/>
          <w:lang w:val="sq-AL"/>
        </w:rPr>
        <w:t>rfshir</w:t>
      </w:r>
      <w:r w:rsidR="006822F7">
        <w:rPr>
          <w:rFonts w:asciiTheme="minorHAnsi" w:eastAsia="Batang" w:hAnsiTheme="minorHAnsi" w:cstheme="minorHAnsi"/>
          <w:sz w:val="22"/>
          <w:szCs w:val="22"/>
          <w:lang w:val="sq-AL"/>
        </w:rPr>
        <w:t>ë</w:t>
      </w:r>
      <w:r w:rsidR="004E5FD2">
        <w:rPr>
          <w:rFonts w:asciiTheme="minorHAnsi" w:eastAsia="Batang" w:hAnsiTheme="minorHAnsi" w:cstheme="minorHAnsi"/>
          <w:sz w:val="22"/>
          <w:szCs w:val="22"/>
          <w:lang w:val="sq-AL"/>
        </w:rPr>
        <w:t xml:space="preserve">s </w:t>
      </w:r>
      <w:r w:rsidR="00B52A0C" w:rsidRPr="00B52A0C">
        <w:rPr>
          <w:rFonts w:asciiTheme="minorHAnsi" w:eastAsia="Batang" w:hAnsiTheme="minorHAnsi" w:cstheme="minorHAnsi"/>
          <w:sz w:val="22"/>
          <w:szCs w:val="22"/>
          <w:lang w:val="sq-AL"/>
        </w:rPr>
        <w:t xml:space="preserve">të ligjeve dhe rregulloreve vendore për kufizimet ligjore </w:t>
      </w:r>
      <w:r w:rsidR="00C17483">
        <w:rPr>
          <w:rFonts w:asciiTheme="minorHAnsi" w:eastAsia="Batang" w:hAnsiTheme="minorHAnsi" w:cstheme="minorHAnsi"/>
          <w:sz w:val="22"/>
          <w:szCs w:val="22"/>
          <w:lang w:val="sq-AL"/>
        </w:rPr>
        <w:t xml:space="preserve">mbi </w:t>
      </w:r>
      <w:r w:rsidR="00B52A0C" w:rsidRPr="00B52A0C">
        <w:rPr>
          <w:rFonts w:asciiTheme="minorHAnsi" w:eastAsia="Batang" w:hAnsiTheme="minorHAnsi" w:cstheme="minorHAnsi"/>
          <w:sz w:val="22"/>
          <w:szCs w:val="22"/>
          <w:lang w:val="sq-AL"/>
        </w:rPr>
        <w:t xml:space="preserve">hyrjen dhe </w:t>
      </w:r>
      <w:r w:rsidR="00C17483">
        <w:rPr>
          <w:rFonts w:asciiTheme="minorHAnsi" w:eastAsia="Batang" w:hAnsiTheme="minorHAnsi" w:cstheme="minorHAnsi"/>
          <w:sz w:val="22"/>
          <w:szCs w:val="22"/>
          <w:lang w:val="sq-AL"/>
        </w:rPr>
        <w:t xml:space="preserve">themelimin </w:t>
      </w:r>
      <w:r w:rsidR="00B52A0C" w:rsidRPr="00B52A0C">
        <w:rPr>
          <w:rFonts w:asciiTheme="minorHAnsi" w:eastAsia="Batang" w:hAnsiTheme="minorHAnsi" w:cstheme="minorHAnsi"/>
          <w:sz w:val="22"/>
          <w:szCs w:val="22"/>
          <w:lang w:val="sq-AL"/>
        </w:rPr>
        <w:t xml:space="preserve">e Investimeve të Huaja </w:t>
      </w:r>
      <w:proofErr w:type="spellStart"/>
      <w:r w:rsidR="00B52A0C" w:rsidRPr="00B52A0C">
        <w:rPr>
          <w:rFonts w:asciiTheme="minorHAnsi" w:eastAsia="Batang" w:hAnsiTheme="minorHAnsi" w:cstheme="minorHAnsi"/>
          <w:sz w:val="22"/>
          <w:szCs w:val="22"/>
          <w:lang w:val="sq-AL"/>
        </w:rPr>
        <w:t>Direkte</w:t>
      </w:r>
      <w:proofErr w:type="spellEnd"/>
      <w:r w:rsidR="00B52A0C" w:rsidRPr="00B52A0C">
        <w:rPr>
          <w:rFonts w:asciiTheme="minorHAnsi" w:eastAsia="Batang" w:hAnsiTheme="minorHAnsi" w:cstheme="minorHAnsi"/>
          <w:sz w:val="22"/>
          <w:szCs w:val="22"/>
          <w:lang w:val="sq-AL"/>
        </w:rPr>
        <w:t>. Ushtrimi kontribuon në disa objektiva</w:t>
      </w:r>
      <w:r w:rsidR="00C422E9" w:rsidRPr="009A66BD">
        <w:rPr>
          <w:rFonts w:asciiTheme="minorHAnsi" w:eastAsia="Batang" w:hAnsiTheme="minorHAnsi" w:cstheme="minorHAnsi"/>
          <w:sz w:val="22"/>
          <w:szCs w:val="22"/>
          <w:lang w:val="sq-AL"/>
        </w:rPr>
        <w:t xml:space="preserve">: </w:t>
      </w:r>
    </w:p>
    <w:p w14:paraId="5734E604" w14:textId="58787A31" w:rsidR="00C422E9" w:rsidRPr="009A66BD" w:rsidRDefault="005D153F" w:rsidP="005D153F">
      <w:pPr>
        <w:numPr>
          <w:ilvl w:val="0"/>
          <w:numId w:val="14"/>
        </w:numPr>
        <w:spacing w:after="120" w:line="254" w:lineRule="auto"/>
        <w:contextualSpacing/>
        <w:jc w:val="left"/>
        <w:rPr>
          <w:rFonts w:asciiTheme="minorHAnsi" w:eastAsia="Batang" w:hAnsiTheme="minorHAnsi" w:cstheme="minorHAnsi"/>
          <w:sz w:val="22"/>
          <w:szCs w:val="22"/>
          <w:lang w:val="sq-AL"/>
        </w:rPr>
      </w:pPr>
      <w:r w:rsidRPr="005D153F">
        <w:rPr>
          <w:rFonts w:asciiTheme="minorHAnsi" w:eastAsia="Batang" w:hAnsiTheme="minorHAnsi" w:cstheme="minorHAnsi"/>
          <w:sz w:val="22"/>
          <w:szCs w:val="22"/>
          <w:lang w:val="sq-AL"/>
        </w:rPr>
        <w:t xml:space="preserve">Rrit transparencën për investitorët e huaj duke thjeshtësuar qasjen në informata: një inventar i përditësuar i barrierave </w:t>
      </w:r>
      <w:r w:rsidR="00020E47" w:rsidRPr="005D153F">
        <w:rPr>
          <w:rFonts w:asciiTheme="minorHAnsi" w:eastAsia="Batang" w:hAnsiTheme="minorHAnsi" w:cstheme="minorHAnsi"/>
          <w:sz w:val="22"/>
          <w:szCs w:val="22"/>
          <w:lang w:val="sq-AL"/>
        </w:rPr>
        <w:t xml:space="preserve">ligjore </w:t>
      </w:r>
      <w:r w:rsidR="00020E47">
        <w:rPr>
          <w:rFonts w:asciiTheme="minorHAnsi" w:eastAsia="Batang" w:hAnsiTheme="minorHAnsi" w:cstheme="minorHAnsi"/>
          <w:sz w:val="22"/>
          <w:szCs w:val="22"/>
          <w:lang w:val="sq-AL"/>
        </w:rPr>
        <w:t xml:space="preserve">të </w:t>
      </w:r>
      <w:r w:rsidRPr="005D153F">
        <w:rPr>
          <w:rFonts w:asciiTheme="minorHAnsi" w:eastAsia="Batang" w:hAnsiTheme="minorHAnsi" w:cstheme="minorHAnsi"/>
          <w:sz w:val="22"/>
          <w:szCs w:val="22"/>
          <w:lang w:val="sq-AL"/>
        </w:rPr>
        <w:t>hyr</w:t>
      </w:r>
      <w:r w:rsidR="00020E47">
        <w:rPr>
          <w:rFonts w:asciiTheme="minorHAnsi" w:eastAsia="Batang" w:hAnsiTheme="minorHAnsi" w:cstheme="minorHAnsi"/>
          <w:sz w:val="22"/>
          <w:szCs w:val="22"/>
          <w:lang w:val="sq-AL"/>
        </w:rPr>
        <w:t>je</w:t>
      </w:r>
      <w:r w:rsidR="00C17483">
        <w:rPr>
          <w:rFonts w:asciiTheme="minorHAnsi" w:eastAsia="Batang" w:hAnsiTheme="minorHAnsi" w:cstheme="minorHAnsi"/>
          <w:sz w:val="22"/>
          <w:szCs w:val="22"/>
          <w:lang w:val="sq-AL"/>
        </w:rPr>
        <w:t>s</w:t>
      </w:r>
      <w:r w:rsidRPr="005D153F">
        <w:rPr>
          <w:rFonts w:asciiTheme="minorHAnsi" w:eastAsia="Batang" w:hAnsiTheme="minorHAnsi" w:cstheme="minorHAnsi"/>
          <w:sz w:val="22"/>
          <w:szCs w:val="22"/>
          <w:lang w:val="sq-AL"/>
        </w:rPr>
        <w:t xml:space="preserve"> do të sigurojë një burim ku renditen kufizimet për investitorët e huaj. Kjo lehtëson procesin e vendimmarrjes së investitorëve potencial dhe të investitorëve ekzistues që dëshirojnë të zgjerojnë projektet e tyre</w:t>
      </w:r>
      <w:r w:rsidR="00C422E9" w:rsidRPr="009A66BD">
        <w:rPr>
          <w:rFonts w:asciiTheme="minorHAnsi" w:eastAsia="Batang" w:hAnsiTheme="minorHAnsi" w:cstheme="minorHAnsi"/>
          <w:sz w:val="22"/>
          <w:szCs w:val="22"/>
          <w:lang w:val="sq-AL"/>
        </w:rPr>
        <w:t>.</w:t>
      </w:r>
    </w:p>
    <w:p w14:paraId="23690856" w14:textId="42085A0A" w:rsidR="00C422E9" w:rsidRPr="009A66BD" w:rsidRDefault="00F47AD1" w:rsidP="00F47AD1">
      <w:pPr>
        <w:numPr>
          <w:ilvl w:val="0"/>
          <w:numId w:val="14"/>
        </w:numPr>
        <w:spacing w:after="120" w:line="254" w:lineRule="auto"/>
        <w:contextualSpacing/>
        <w:jc w:val="left"/>
        <w:rPr>
          <w:rFonts w:asciiTheme="minorHAnsi" w:eastAsia="Batang" w:hAnsiTheme="minorHAnsi" w:cstheme="minorHAnsi"/>
          <w:sz w:val="22"/>
          <w:szCs w:val="22"/>
          <w:lang w:val="sq-AL"/>
        </w:rPr>
      </w:pPr>
      <w:r w:rsidRPr="00F47AD1">
        <w:rPr>
          <w:rFonts w:ascii="Calibri" w:eastAsia="Batang" w:hAnsi="Calibri" w:cs="Calibri"/>
          <w:sz w:val="22"/>
          <w:szCs w:val="22"/>
          <w:lang w:val="sq-AL"/>
        </w:rPr>
        <w:t xml:space="preserve">Siguron qartësi </w:t>
      </w:r>
      <w:r w:rsidR="00C17483">
        <w:rPr>
          <w:rFonts w:ascii="Calibri" w:eastAsia="Batang" w:hAnsi="Calibri" w:cs="Calibri"/>
          <w:sz w:val="22"/>
          <w:szCs w:val="22"/>
          <w:lang w:val="sq-AL"/>
        </w:rPr>
        <w:t>mbi</w:t>
      </w:r>
      <w:r w:rsidRPr="00F47AD1">
        <w:rPr>
          <w:rFonts w:ascii="Calibri" w:eastAsia="Batang" w:hAnsi="Calibri" w:cs="Calibri"/>
          <w:sz w:val="22"/>
          <w:szCs w:val="22"/>
          <w:lang w:val="sq-AL"/>
        </w:rPr>
        <w:t xml:space="preserve"> nivelin aktual të </w:t>
      </w:r>
      <w:proofErr w:type="spellStart"/>
      <w:r w:rsidRPr="00F47AD1">
        <w:rPr>
          <w:rFonts w:ascii="Calibri" w:eastAsia="Batang" w:hAnsi="Calibri" w:cs="Calibri"/>
          <w:sz w:val="22"/>
          <w:szCs w:val="22"/>
          <w:lang w:val="sq-AL"/>
        </w:rPr>
        <w:t>kufiz</w:t>
      </w:r>
      <w:r w:rsidR="00C17483">
        <w:rPr>
          <w:rFonts w:ascii="Calibri" w:eastAsia="Batang" w:hAnsi="Calibri" w:cs="Calibri"/>
          <w:sz w:val="22"/>
          <w:szCs w:val="22"/>
          <w:lang w:val="sq-AL"/>
        </w:rPr>
        <w:t>ueshm</w:t>
      </w:r>
      <w:r w:rsidR="006822F7">
        <w:rPr>
          <w:rFonts w:ascii="Calibri" w:eastAsia="Batang" w:hAnsi="Calibri" w:cs="Calibri"/>
          <w:sz w:val="22"/>
          <w:szCs w:val="22"/>
          <w:lang w:val="sq-AL"/>
        </w:rPr>
        <w:t>ë</w:t>
      </w:r>
      <w:r w:rsidR="00C17483">
        <w:rPr>
          <w:rFonts w:ascii="Calibri" w:eastAsia="Batang" w:hAnsi="Calibri" w:cs="Calibri"/>
          <w:sz w:val="22"/>
          <w:szCs w:val="22"/>
          <w:lang w:val="sq-AL"/>
        </w:rPr>
        <w:t>ris</w:t>
      </w:r>
      <w:r w:rsidR="006822F7">
        <w:rPr>
          <w:rFonts w:ascii="Calibri" w:eastAsia="Batang" w:hAnsi="Calibri" w:cs="Calibri"/>
          <w:sz w:val="22"/>
          <w:szCs w:val="22"/>
          <w:lang w:val="sq-AL"/>
        </w:rPr>
        <w:t>ë</w:t>
      </w:r>
      <w:proofErr w:type="spellEnd"/>
      <w:r w:rsidRPr="00F47AD1">
        <w:rPr>
          <w:rFonts w:ascii="Calibri" w:eastAsia="Batang" w:hAnsi="Calibri" w:cs="Calibri"/>
          <w:sz w:val="22"/>
          <w:szCs w:val="22"/>
          <w:lang w:val="sq-AL"/>
        </w:rPr>
        <w:t xml:space="preserve"> dhe </w:t>
      </w:r>
      <w:r w:rsidR="00C17483">
        <w:rPr>
          <w:rFonts w:ascii="Calibri" w:eastAsia="Batang" w:hAnsi="Calibri" w:cs="Calibri"/>
          <w:sz w:val="22"/>
          <w:szCs w:val="22"/>
          <w:lang w:val="sq-AL"/>
        </w:rPr>
        <w:t>ndihmon n</w:t>
      </w:r>
      <w:r w:rsidR="006822F7">
        <w:rPr>
          <w:rFonts w:ascii="Calibri" w:eastAsia="Batang" w:hAnsi="Calibri" w:cs="Calibri"/>
          <w:sz w:val="22"/>
          <w:szCs w:val="22"/>
          <w:lang w:val="sq-AL"/>
        </w:rPr>
        <w:t>ë</w:t>
      </w:r>
      <w:r w:rsidR="00C17483">
        <w:rPr>
          <w:rFonts w:ascii="Calibri" w:eastAsia="Batang" w:hAnsi="Calibri" w:cs="Calibri"/>
          <w:sz w:val="22"/>
          <w:szCs w:val="22"/>
          <w:lang w:val="sq-AL"/>
        </w:rPr>
        <w:t xml:space="preserve"> </w:t>
      </w:r>
      <w:r w:rsidRPr="00F47AD1">
        <w:rPr>
          <w:rFonts w:ascii="Calibri" w:eastAsia="Batang" w:hAnsi="Calibri" w:cs="Calibri"/>
          <w:sz w:val="22"/>
          <w:szCs w:val="22"/>
          <w:lang w:val="sq-AL"/>
        </w:rPr>
        <w:t>formulimi</w:t>
      </w:r>
      <w:r w:rsidR="00C17483">
        <w:rPr>
          <w:rFonts w:ascii="Calibri" w:eastAsia="Batang" w:hAnsi="Calibri" w:cs="Calibri"/>
          <w:sz w:val="22"/>
          <w:szCs w:val="22"/>
          <w:lang w:val="sq-AL"/>
        </w:rPr>
        <w:t xml:space="preserve">n e </w:t>
      </w:r>
      <w:r w:rsidRPr="00F47AD1">
        <w:rPr>
          <w:rFonts w:ascii="Calibri" w:eastAsia="Batang" w:hAnsi="Calibri" w:cs="Calibri"/>
          <w:sz w:val="22"/>
          <w:szCs w:val="22"/>
          <w:lang w:val="sq-AL"/>
        </w:rPr>
        <w:t xml:space="preserve"> politikave të ndihmës: një vlerësim i ligjeve dhe rregulloreve vendore u mundëson qeverive të </w:t>
      </w:r>
      <w:r w:rsidR="00C17483">
        <w:rPr>
          <w:rFonts w:ascii="Calibri" w:eastAsia="Batang" w:hAnsi="Calibri" w:cs="Calibri"/>
          <w:sz w:val="22"/>
          <w:szCs w:val="22"/>
          <w:lang w:val="sq-AL"/>
        </w:rPr>
        <w:t>regjistrojn</w:t>
      </w:r>
      <w:r w:rsidR="006822F7">
        <w:rPr>
          <w:rFonts w:ascii="Calibri" w:eastAsia="Batang" w:hAnsi="Calibri" w:cs="Calibri"/>
          <w:sz w:val="22"/>
          <w:szCs w:val="22"/>
          <w:lang w:val="sq-AL"/>
        </w:rPr>
        <w:t>ë</w:t>
      </w:r>
      <w:r w:rsidR="00C17483">
        <w:rPr>
          <w:rFonts w:ascii="Calibri" w:eastAsia="Batang" w:hAnsi="Calibri" w:cs="Calibri"/>
          <w:sz w:val="22"/>
          <w:szCs w:val="22"/>
          <w:lang w:val="sq-AL"/>
        </w:rPr>
        <w:t xml:space="preserve"> </w:t>
      </w:r>
      <w:r w:rsidRPr="00F47AD1">
        <w:rPr>
          <w:rFonts w:ascii="Calibri" w:eastAsia="Batang" w:hAnsi="Calibri" w:cs="Calibri"/>
          <w:sz w:val="22"/>
          <w:szCs w:val="22"/>
          <w:lang w:val="sq-AL"/>
        </w:rPr>
        <w:t>të gjitha pengesat e ndryshme ligjore të hyrje</w:t>
      </w:r>
      <w:r w:rsidR="00C17483">
        <w:rPr>
          <w:rFonts w:ascii="Calibri" w:eastAsia="Batang" w:hAnsi="Calibri" w:cs="Calibri"/>
          <w:sz w:val="22"/>
          <w:szCs w:val="22"/>
          <w:lang w:val="sq-AL"/>
        </w:rPr>
        <w:t xml:space="preserve">s </w:t>
      </w:r>
      <w:r w:rsidRPr="00F47AD1">
        <w:rPr>
          <w:rFonts w:ascii="Calibri" w:eastAsia="Batang" w:hAnsi="Calibri" w:cs="Calibri"/>
          <w:sz w:val="22"/>
          <w:szCs w:val="22"/>
          <w:lang w:val="sq-AL"/>
        </w:rPr>
        <w:t xml:space="preserve">që ekzistojnë për investitorët, gjë që lehtëson një analizë </w:t>
      </w:r>
      <w:r w:rsidR="00C17483">
        <w:rPr>
          <w:rFonts w:ascii="Calibri" w:eastAsia="Batang" w:hAnsi="Calibri" w:cs="Calibri"/>
          <w:sz w:val="22"/>
          <w:szCs w:val="22"/>
          <w:lang w:val="sq-AL"/>
        </w:rPr>
        <w:t>mbi at</w:t>
      </w:r>
      <w:r w:rsidR="006822F7">
        <w:rPr>
          <w:rFonts w:ascii="Calibri" w:eastAsia="Batang" w:hAnsi="Calibri" w:cs="Calibri"/>
          <w:sz w:val="22"/>
          <w:szCs w:val="22"/>
          <w:lang w:val="sq-AL"/>
        </w:rPr>
        <w:t>ë</w:t>
      </w:r>
      <w:r w:rsidR="00C17483">
        <w:rPr>
          <w:rFonts w:ascii="Calibri" w:eastAsia="Batang" w:hAnsi="Calibri" w:cs="Calibri"/>
          <w:sz w:val="22"/>
          <w:szCs w:val="22"/>
          <w:lang w:val="sq-AL"/>
        </w:rPr>
        <w:t xml:space="preserve"> </w:t>
      </w:r>
      <w:r w:rsidRPr="00F47AD1">
        <w:rPr>
          <w:rFonts w:ascii="Calibri" w:eastAsia="Batang" w:hAnsi="Calibri" w:cs="Calibri"/>
          <w:sz w:val="22"/>
          <w:szCs w:val="22"/>
          <w:lang w:val="sq-AL"/>
        </w:rPr>
        <w:t xml:space="preserve">nëse niveli aktual i </w:t>
      </w:r>
      <w:proofErr w:type="spellStart"/>
      <w:r w:rsidRPr="00F47AD1">
        <w:rPr>
          <w:rFonts w:ascii="Calibri" w:eastAsia="Batang" w:hAnsi="Calibri" w:cs="Calibri"/>
          <w:sz w:val="22"/>
          <w:szCs w:val="22"/>
          <w:lang w:val="sq-AL"/>
        </w:rPr>
        <w:t>kufiz</w:t>
      </w:r>
      <w:r w:rsidR="00C17483">
        <w:rPr>
          <w:rFonts w:ascii="Calibri" w:eastAsia="Batang" w:hAnsi="Calibri" w:cs="Calibri"/>
          <w:sz w:val="22"/>
          <w:szCs w:val="22"/>
          <w:lang w:val="sq-AL"/>
        </w:rPr>
        <w:t>ueshm</w:t>
      </w:r>
      <w:r w:rsidR="006822F7">
        <w:rPr>
          <w:rFonts w:ascii="Calibri" w:eastAsia="Batang" w:hAnsi="Calibri" w:cs="Calibri"/>
          <w:sz w:val="22"/>
          <w:szCs w:val="22"/>
          <w:lang w:val="sq-AL"/>
        </w:rPr>
        <w:t>ë</w:t>
      </w:r>
      <w:r w:rsidR="00C17483">
        <w:rPr>
          <w:rFonts w:ascii="Calibri" w:eastAsia="Batang" w:hAnsi="Calibri" w:cs="Calibri"/>
          <w:sz w:val="22"/>
          <w:szCs w:val="22"/>
          <w:lang w:val="sq-AL"/>
        </w:rPr>
        <w:t>ris</w:t>
      </w:r>
      <w:r w:rsidR="006822F7">
        <w:rPr>
          <w:rFonts w:ascii="Calibri" w:eastAsia="Batang" w:hAnsi="Calibri" w:cs="Calibri"/>
          <w:sz w:val="22"/>
          <w:szCs w:val="22"/>
          <w:lang w:val="sq-AL"/>
        </w:rPr>
        <w:t>ë</w:t>
      </w:r>
      <w:proofErr w:type="spellEnd"/>
      <w:r w:rsidR="00C17483">
        <w:rPr>
          <w:rFonts w:ascii="Calibri" w:eastAsia="Batang" w:hAnsi="Calibri" w:cs="Calibri"/>
          <w:sz w:val="22"/>
          <w:szCs w:val="22"/>
          <w:lang w:val="sq-AL"/>
        </w:rPr>
        <w:t xml:space="preserve"> </w:t>
      </w:r>
      <w:r w:rsidRPr="00F47AD1">
        <w:rPr>
          <w:rFonts w:ascii="Calibri" w:eastAsia="Batang" w:hAnsi="Calibri" w:cs="Calibri"/>
          <w:sz w:val="22"/>
          <w:szCs w:val="22"/>
          <w:lang w:val="sq-AL"/>
        </w:rPr>
        <w:t>pasqyron siç duhet qëndrimin e dëshiruar të politikave dhe ofron një bazë për reforma</w:t>
      </w:r>
      <w:r w:rsidR="00C17483">
        <w:rPr>
          <w:rFonts w:ascii="Calibri" w:eastAsia="Batang" w:hAnsi="Calibri" w:cs="Calibri"/>
          <w:sz w:val="22"/>
          <w:szCs w:val="22"/>
          <w:lang w:val="sq-AL"/>
        </w:rPr>
        <w:t xml:space="preserve"> t</w:t>
      </w:r>
      <w:r w:rsidR="006822F7">
        <w:rPr>
          <w:rFonts w:ascii="Calibri" w:eastAsia="Batang" w:hAnsi="Calibri" w:cs="Calibri"/>
          <w:sz w:val="22"/>
          <w:szCs w:val="22"/>
          <w:lang w:val="sq-AL"/>
        </w:rPr>
        <w:t>ë</w:t>
      </w:r>
      <w:r w:rsidR="00C17483">
        <w:rPr>
          <w:rFonts w:ascii="Calibri" w:eastAsia="Batang" w:hAnsi="Calibri" w:cs="Calibri"/>
          <w:sz w:val="22"/>
          <w:szCs w:val="22"/>
          <w:lang w:val="sq-AL"/>
        </w:rPr>
        <w:t xml:space="preserve"> </w:t>
      </w:r>
      <w:r w:rsidRPr="00F47AD1">
        <w:rPr>
          <w:rFonts w:ascii="Calibri" w:eastAsia="Batang" w:hAnsi="Calibri" w:cs="Calibri"/>
          <w:sz w:val="22"/>
          <w:szCs w:val="22"/>
          <w:lang w:val="sq-AL"/>
        </w:rPr>
        <w:t>mundshme</w:t>
      </w:r>
      <w:r w:rsidR="00C422E9" w:rsidRPr="009A66BD">
        <w:rPr>
          <w:rFonts w:asciiTheme="minorHAnsi" w:eastAsia="Batang" w:hAnsiTheme="minorHAnsi" w:cstheme="minorHAnsi"/>
          <w:sz w:val="22"/>
          <w:szCs w:val="22"/>
          <w:lang w:val="sq-AL"/>
        </w:rPr>
        <w:t>.</w:t>
      </w:r>
    </w:p>
    <w:p w14:paraId="0F719FC4" w14:textId="3BE4B79A" w:rsidR="00C422E9" w:rsidRPr="009A66BD" w:rsidRDefault="002157C1" w:rsidP="00B6519A">
      <w:pPr>
        <w:numPr>
          <w:ilvl w:val="0"/>
          <w:numId w:val="14"/>
        </w:numPr>
        <w:spacing w:after="120" w:line="254" w:lineRule="auto"/>
        <w:contextualSpacing/>
        <w:jc w:val="left"/>
        <w:rPr>
          <w:rFonts w:asciiTheme="minorHAnsi" w:eastAsia="Batang" w:hAnsiTheme="minorHAnsi" w:cstheme="minorHAnsi"/>
          <w:sz w:val="22"/>
          <w:szCs w:val="22"/>
          <w:lang w:val="sq-AL"/>
        </w:rPr>
      </w:pPr>
      <w:r w:rsidRPr="002157C1">
        <w:rPr>
          <w:rFonts w:asciiTheme="minorHAnsi" w:eastAsia="Batang" w:hAnsiTheme="minorHAnsi" w:cstheme="minorHAnsi"/>
          <w:sz w:val="22"/>
          <w:szCs w:val="22"/>
          <w:lang w:val="sq-AL"/>
        </w:rPr>
        <w:t>Ofron udhëzime për hartimin e shtoj</w:t>
      </w:r>
      <w:r>
        <w:rPr>
          <w:rFonts w:asciiTheme="minorHAnsi" w:eastAsia="Batang" w:hAnsiTheme="minorHAnsi" w:cstheme="minorHAnsi"/>
          <w:sz w:val="22"/>
          <w:szCs w:val="22"/>
          <w:lang w:val="sq-AL"/>
        </w:rPr>
        <w:t>cave për MNI-të e ardhshme që rendisin</w:t>
      </w:r>
      <w:r w:rsidR="00C17483">
        <w:rPr>
          <w:rFonts w:asciiTheme="minorHAnsi" w:eastAsia="Batang" w:hAnsiTheme="minorHAnsi" w:cstheme="minorHAnsi"/>
          <w:sz w:val="22"/>
          <w:szCs w:val="22"/>
          <w:lang w:val="sq-AL"/>
        </w:rPr>
        <w:t>/listojn</w:t>
      </w:r>
      <w:r w:rsidR="006822F7">
        <w:rPr>
          <w:rFonts w:asciiTheme="minorHAnsi" w:eastAsia="Batang" w:hAnsiTheme="minorHAnsi" w:cstheme="minorHAnsi"/>
          <w:sz w:val="22"/>
          <w:szCs w:val="22"/>
          <w:lang w:val="sq-AL"/>
        </w:rPr>
        <w:t>ë</w:t>
      </w:r>
      <w:r>
        <w:rPr>
          <w:rFonts w:asciiTheme="minorHAnsi" w:eastAsia="Batang" w:hAnsiTheme="minorHAnsi" w:cstheme="minorHAnsi"/>
          <w:sz w:val="22"/>
          <w:szCs w:val="22"/>
          <w:lang w:val="sq-AL"/>
        </w:rPr>
        <w:t xml:space="preserve"> </w:t>
      </w:r>
      <w:r w:rsidR="00B6519A">
        <w:rPr>
          <w:rFonts w:asciiTheme="minorHAnsi" w:eastAsia="Batang" w:hAnsiTheme="minorHAnsi" w:cstheme="minorHAnsi"/>
          <w:sz w:val="22"/>
          <w:szCs w:val="22"/>
          <w:lang w:val="sq-AL"/>
        </w:rPr>
        <w:t>Masat</w:t>
      </w:r>
      <w:r w:rsidR="00B6519A" w:rsidRPr="00B6519A">
        <w:rPr>
          <w:rFonts w:asciiTheme="minorHAnsi" w:eastAsia="Batang" w:hAnsiTheme="minorHAnsi" w:cstheme="minorHAnsi"/>
          <w:sz w:val="22"/>
          <w:szCs w:val="22"/>
          <w:lang w:val="sq-AL"/>
        </w:rPr>
        <w:t xml:space="preserve"> Mos-</w:t>
      </w:r>
      <w:proofErr w:type="spellStart"/>
      <w:r w:rsidR="00B6519A" w:rsidRPr="00B6519A">
        <w:rPr>
          <w:rFonts w:asciiTheme="minorHAnsi" w:eastAsia="Batang" w:hAnsiTheme="minorHAnsi" w:cstheme="minorHAnsi"/>
          <w:sz w:val="22"/>
          <w:szCs w:val="22"/>
          <w:lang w:val="sq-AL"/>
        </w:rPr>
        <w:t>Përputhëse</w:t>
      </w:r>
      <w:proofErr w:type="spellEnd"/>
      <w:r w:rsidR="00B6519A">
        <w:rPr>
          <w:rFonts w:asciiTheme="minorHAnsi" w:eastAsia="Batang" w:hAnsiTheme="minorHAnsi" w:cstheme="minorHAnsi"/>
          <w:sz w:val="22"/>
          <w:szCs w:val="22"/>
          <w:lang w:val="sq-AL"/>
        </w:rPr>
        <w:t xml:space="preserve"> (MMP</w:t>
      </w:r>
      <w:r w:rsidRPr="002157C1">
        <w:rPr>
          <w:rFonts w:asciiTheme="minorHAnsi" w:eastAsia="Batang" w:hAnsiTheme="minorHAnsi" w:cstheme="minorHAnsi"/>
          <w:sz w:val="22"/>
          <w:szCs w:val="22"/>
          <w:lang w:val="sq-AL"/>
        </w:rPr>
        <w:t>-të</w:t>
      </w:r>
      <w:r w:rsidR="00C17483">
        <w:rPr>
          <w:rFonts w:asciiTheme="minorHAnsi" w:eastAsia="Batang" w:hAnsiTheme="minorHAnsi" w:cstheme="minorHAnsi"/>
          <w:sz w:val="22"/>
          <w:szCs w:val="22"/>
          <w:lang w:val="sq-AL"/>
        </w:rPr>
        <w:t xml:space="preserve"> (NCM)</w:t>
      </w:r>
      <w:r w:rsidRPr="002157C1">
        <w:rPr>
          <w:rFonts w:asciiTheme="minorHAnsi" w:eastAsia="Batang" w:hAnsiTheme="minorHAnsi" w:cstheme="minorHAnsi"/>
          <w:sz w:val="22"/>
          <w:szCs w:val="22"/>
          <w:lang w:val="sq-AL"/>
        </w:rPr>
        <w:t>, shih më poshtë</w:t>
      </w:r>
      <w:r w:rsidR="00C422E9" w:rsidRPr="009A66BD">
        <w:rPr>
          <w:rFonts w:asciiTheme="minorHAnsi" w:eastAsia="Batang" w:hAnsiTheme="minorHAnsi" w:cstheme="minorHAnsi"/>
          <w:sz w:val="22"/>
          <w:szCs w:val="22"/>
          <w:lang w:val="sq-AL"/>
        </w:rPr>
        <w:t>)</w:t>
      </w:r>
      <w:r w:rsidR="00C422E9" w:rsidRPr="009A66BD">
        <w:rPr>
          <w:rFonts w:asciiTheme="minorHAnsi" w:eastAsia="Batang" w:hAnsiTheme="minorHAnsi" w:cstheme="minorHAnsi"/>
          <w:sz w:val="22"/>
          <w:szCs w:val="22"/>
          <w:vertAlign w:val="superscript"/>
          <w:lang w:val="sq-AL"/>
        </w:rPr>
        <w:footnoteReference w:id="9"/>
      </w:r>
      <w:r w:rsidR="00C422E9" w:rsidRPr="009A66BD">
        <w:rPr>
          <w:rFonts w:asciiTheme="minorHAnsi" w:eastAsia="Batang" w:hAnsiTheme="minorHAnsi" w:cstheme="minorHAnsi"/>
          <w:sz w:val="22"/>
          <w:szCs w:val="22"/>
          <w:lang w:val="sq-AL"/>
        </w:rPr>
        <w:t xml:space="preserve">. </w:t>
      </w:r>
    </w:p>
    <w:p w14:paraId="150AD17C" w14:textId="6E1DC034" w:rsidR="00C422E9" w:rsidRPr="009A66BD" w:rsidRDefault="00053962" w:rsidP="00053962">
      <w:pPr>
        <w:numPr>
          <w:ilvl w:val="0"/>
          <w:numId w:val="14"/>
        </w:numPr>
        <w:spacing w:after="120" w:line="254" w:lineRule="auto"/>
        <w:contextualSpacing/>
        <w:jc w:val="left"/>
        <w:rPr>
          <w:rFonts w:ascii="Calibri" w:eastAsia="Batang" w:hAnsi="Calibri" w:cs="Calibri"/>
          <w:sz w:val="22"/>
          <w:szCs w:val="22"/>
          <w:lang w:val="sq-AL"/>
        </w:rPr>
      </w:pPr>
      <w:r w:rsidRPr="00053962">
        <w:rPr>
          <w:rFonts w:ascii="Calibri" w:eastAsia="Batang" w:hAnsi="Calibri" w:cs="Calibri"/>
          <w:sz w:val="22"/>
          <w:szCs w:val="22"/>
          <w:lang w:val="sq-AL"/>
        </w:rPr>
        <w:t>Lehtëson procesin e pranimit në BE: Duke pasur një listë gjithëpërfshirëse të barrierave ligjore të hyrje</w:t>
      </w:r>
      <w:r w:rsidR="00C17483">
        <w:rPr>
          <w:rFonts w:ascii="Calibri" w:eastAsia="Batang" w:hAnsi="Calibri" w:cs="Calibri"/>
          <w:sz w:val="22"/>
          <w:szCs w:val="22"/>
          <w:lang w:val="sq-AL"/>
        </w:rPr>
        <w:t>s</w:t>
      </w:r>
      <w:r w:rsidRPr="00053962">
        <w:rPr>
          <w:rFonts w:ascii="Calibri" w:eastAsia="Batang" w:hAnsi="Calibri" w:cs="Calibri"/>
          <w:sz w:val="22"/>
          <w:szCs w:val="22"/>
          <w:lang w:val="sq-AL"/>
        </w:rPr>
        <w:t xml:space="preserve"> ndihmon </w:t>
      </w:r>
      <w:r w:rsidR="00C17483">
        <w:rPr>
          <w:rFonts w:ascii="Calibri" w:eastAsia="Batang" w:hAnsi="Calibri" w:cs="Calibri"/>
          <w:sz w:val="22"/>
          <w:szCs w:val="22"/>
          <w:lang w:val="sq-AL"/>
        </w:rPr>
        <w:t>p</w:t>
      </w:r>
      <w:r w:rsidR="006822F7">
        <w:rPr>
          <w:rFonts w:ascii="Calibri" w:eastAsia="Batang" w:hAnsi="Calibri" w:cs="Calibri"/>
          <w:sz w:val="22"/>
          <w:szCs w:val="22"/>
          <w:lang w:val="sq-AL"/>
        </w:rPr>
        <w:t>ë</w:t>
      </w:r>
      <w:r w:rsidR="00C17483">
        <w:rPr>
          <w:rFonts w:ascii="Calibri" w:eastAsia="Batang" w:hAnsi="Calibri" w:cs="Calibri"/>
          <w:sz w:val="22"/>
          <w:szCs w:val="22"/>
          <w:lang w:val="sq-AL"/>
        </w:rPr>
        <w:t xml:space="preserve">rafrimin </w:t>
      </w:r>
      <w:r w:rsidRPr="00053962">
        <w:rPr>
          <w:rFonts w:ascii="Calibri" w:eastAsia="Batang" w:hAnsi="Calibri" w:cs="Calibri"/>
          <w:sz w:val="22"/>
          <w:szCs w:val="22"/>
          <w:lang w:val="sq-AL"/>
        </w:rPr>
        <w:t xml:space="preserve">me Kapitullin 3 të </w:t>
      </w:r>
      <w:proofErr w:type="spellStart"/>
      <w:r w:rsidRPr="00053962">
        <w:rPr>
          <w:rFonts w:ascii="Calibri" w:eastAsia="Batang" w:hAnsi="Calibri" w:cs="Calibri"/>
          <w:sz w:val="22"/>
          <w:szCs w:val="22"/>
          <w:lang w:val="sq-AL"/>
        </w:rPr>
        <w:t>Acquis</w:t>
      </w:r>
      <w:proofErr w:type="spellEnd"/>
      <w:r w:rsidRPr="00053962">
        <w:rPr>
          <w:rFonts w:ascii="Calibri" w:eastAsia="Batang" w:hAnsi="Calibri" w:cs="Calibri"/>
          <w:sz w:val="22"/>
          <w:szCs w:val="22"/>
          <w:lang w:val="sq-AL"/>
        </w:rPr>
        <w:t xml:space="preserve"> </w:t>
      </w:r>
      <w:proofErr w:type="spellStart"/>
      <w:r w:rsidRPr="00053962">
        <w:rPr>
          <w:rFonts w:ascii="Calibri" w:eastAsia="Batang" w:hAnsi="Calibri" w:cs="Calibri"/>
          <w:sz w:val="22"/>
          <w:szCs w:val="22"/>
          <w:lang w:val="sq-AL"/>
        </w:rPr>
        <w:t>communautaire</w:t>
      </w:r>
      <w:proofErr w:type="spellEnd"/>
      <w:r w:rsidRPr="00053962">
        <w:rPr>
          <w:rFonts w:ascii="Calibri" w:eastAsia="Batang" w:hAnsi="Calibri" w:cs="Calibri"/>
          <w:sz w:val="22"/>
          <w:szCs w:val="22"/>
          <w:lang w:val="sq-AL"/>
        </w:rPr>
        <w:t xml:space="preserve"> të BE-së (shih më poshtë) dhe përfundimisht për të përmbushur kriteret e pranimit</w:t>
      </w:r>
      <w:r w:rsidR="00C422E9" w:rsidRPr="009A66BD">
        <w:rPr>
          <w:rFonts w:ascii="Calibri" w:eastAsia="Batang" w:hAnsi="Calibri" w:cs="Calibri"/>
          <w:sz w:val="22"/>
          <w:szCs w:val="22"/>
          <w:lang w:val="sq-AL"/>
        </w:rPr>
        <w:t>.</w:t>
      </w:r>
    </w:p>
    <w:p w14:paraId="5B134D20" w14:textId="637E2D1B" w:rsidR="00C422E9" w:rsidRPr="009A66BD" w:rsidRDefault="00705BBE" w:rsidP="00705BBE">
      <w:pPr>
        <w:numPr>
          <w:ilvl w:val="0"/>
          <w:numId w:val="14"/>
        </w:numPr>
        <w:spacing w:after="120" w:line="254" w:lineRule="auto"/>
        <w:contextualSpacing/>
        <w:jc w:val="left"/>
        <w:rPr>
          <w:rFonts w:asciiTheme="minorHAnsi" w:eastAsia="Batang" w:hAnsiTheme="minorHAnsi" w:cstheme="minorHAnsi"/>
          <w:sz w:val="22"/>
          <w:szCs w:val="22"/>
          <w:lang w:val="sq-AL"/>
        </w:rPr>
      </w:pPr>
      <w:r w:rsidRPr="00705BBE">
        <w:rPr>
          <w:rFonts w:asciiTheme="minorHAnsi" w:eastAsia="Batang" w:hAnsiTheme="minorHAnsi" w:cstheme="minorHAnsi"/>
          <w:sz w:val="22"/>
          <w:szCs w:val="22"/>
          <w:lang w:val="sq-AL"/>
        </w:rPr>
        <w:t xml:space="preserve">Mund të përdoret për negociatat e OBT-së </w:t>
      </w:r>
      <w:r w:rsidR="007913EE">
        <w:rPr>
          <w:rFonts w:asciiTheme="minorHAnsi" w:eastAsia="Batang" w:hAnsiTheme="minorHAnsi" w:cstheme="minorHAnsi"/>
          <w:sz w:val="22"/>
          <w:szCs w:val="22"/>
          <w:lang w:val="sq-AL"/>
        </w:rPr>
        <w:t>t</w:t>
      </w:r>
      <w:r w:rsidR="006822F7">
        <w:rPr>
          <w:rFonts w:asciiTheme="minorHAnsi" w:eastAsia="Batang" w:hAnsiTheme="minorHAnsi" w:cstheme="minorHAnsi"/>
          <w:sz w:val="22"/>
          <w:szCs w:val="22"/>
          <w:lang w:val="sq-AL"/>
        </w:rPr>
        <w:t>ë</w:t>
      </w:r>
      <w:r w:rsidR="007913EE">
        <w:rPr>
          <w:rFonts w:asciiTheme="minorHAnsi" w:eastAsia="Batang" w:hAnsiTheme="minorHAnsi" w:cstheme="minorHAnsi"/>
          <w:sz w:val="22"/>
          <w:szCs w:val="22"/>
          <w:lang w:val="sq-AL"/>
        </w:rPr>
        <w:t xml:space="preserve"> </w:t>
      </w:r>
      <w:r w:rsidR="00512B67">
        <w:rPr>
          <w:rFonts w:asciiTheme="minorHAnsi" w:eastAsia="Batang" w:hAnsiTheme="minorHAnsi" w:cstheme="minorHAnsi"/>
          <w:sz w:val="22"/>
          <w:szCs w:val="22"/>
          <w:lang w:val="sq-AL"/>
        </w:rPr>
        <w:t>Skemë</w:t>
      </w:r>
      <w:r w:rsidR="007913EE">
        <w:rPr>
          <w:rFonts w:asciiTheme="minorHAnsi" w:eastAsia="Batang" w:hAnsiTheme="minorHAnsi" w:cstheme="minorHAnsi"/>
          <w:sz w:val="22"/>
          <w:szCs w:val="22"/>
          <w:lang w:val="sq-AL"/>
        </w:rPr>
        <w:t>s s</w:t>
      </w:r>
      <w:r w:rsidR="006822F7">
        <w:rPr>
          <w:rFonts w:asciiTheme="minorHAnsi" w:eastAsia="Batang" w:hAnsiTheme="minorHAnsi" w:cstheme="minorHAnsi"/>
          <w:sz w:val="22"/>
          <w:szCs w:val="22"/>
          <w:lang w:val="sq-AL"/>
        </w:rPr>
        <w:t>ë</w:t>
      </w:r>
      <w:r w:rsidR="007913EE">
        <w:rPr>
          <w:rFonts w:asciiTheme="minorHAnsi" w:eastAsia="Batang" w:hAnsiTheme="minorHAnsi" w:cstheme="minorHAnsi"/>
          <w:sz w:val="22"/>
          <w:szCs w:val="22"/>
          <w:lang w:val="sq-AL"/>
        </w:rPr>
        <w:t xml:space="preserve"> </w:t>
      </w:r>
      <w:r w:rsidRPr="00705BBE">
        <w:rPr>
          <w:rFonts w:asciiTheme="minorHAnsi" w:eastAsia="Batang" w:hAnsiTheme="minorHAnsi" w:cstheme="minorHAnsi"/>
          <w:sz w:val="22"/>
          <w:szCs w:val="22"/>
          <w:lang w:val="sq-AL"/>
        </w:rPr>
        <w:t xml:space="preserve">Shërbimeve të </w:t>
      </w:r>
      <w:r w:rsidR="007913EE">
        <w:rPr>
          <w:rFonts w:asciiTheme="minorHAnsi" w:eastAsia="Batang" w:hAnsiTheme="minorHAnsi" w:cstheme="minorHAnsi"/>
          <w:sz w:val="22"/>
          <w:szCs w:val="22"/>
          <w:lang w:val="sq-AL"/>
        </w:rPr>
        <w:t xml:space="preserve">Zotimeve </w:t>
      </w:r>
      <w:r w:rsidRPr="00705BBE">
        <w:rPr>
          <w:rFonts w:asciiTheme="minorHAnsi" w:eastAsia="Batang" w:hAnsiTheme="minorHAnsi" w:cstheme="minorHAnsi"/>
          <w:sz w:val="22"/>
          <w:szCs w:val="22"/>
          <w:lang w:val="sq-AL"/>
        </w:rPr>
        <w:t>sipas Marrëveshjes së Përgjithshme mbi Tregtinë e Shërbimeve (GATS), posaçërisht për tregtimin e shërbimeve në modalitetin 3 (</w:t>
      </w:r>
      <w:r w:rsidR="00783C8F">
        <w:rPr>
          <w:rFonts w:asciiTheme="minorHAnsi" w:eastAsia="Batang" w:hAnsiTheme="minorHAnsi" w:cstheme="minorHAnsi"/>
          <w:sz w:val="22"/>
          <w:szCs w:val="22"/>
          <w:lang w:val="sq-AL"/>
        </w:rPr>
        <w:t xml:space="preserve">prezenca </w:t>
      </w:r>
      <w:r w:rsidRPr="00705BBE">
        <w:rPr>
          <w:rFonts w:asciiTheme="minorHAnsi" w:eastAsia="Batang" w:hAnsiTheme="minorHAnsi" w:cstheme="minorHAnsi"/>
          <w:sz w:val="22"/>
          <w:szCs w:val="22"/>
          <w:lang w:val="sq-AL"/>
        </w:rPr>
        <w:t xml:space="preserve">tregtare) </w:t>
      </w:r>
      <w:r w:rsidR="00C422E9" w:rsidRPr="009A66BD">
        <w:rPr>
          <w:rFonts w:asciiTheme="minorHAnsi" w:eastAsia="Batang" w:hAnsiTheme="minorHAnsi" w:cstheme="minorHAnsi"/>
          <w:sz w:val="22"/>
          <w:szCs w:val="22"/>
          <w:vertAlign w:val="superscript"/>
          <w:lang w:val="sq-AL"/>
        </w:rPr>
        <w:footnoteReference w:id="10"/>
      </w:r>
      <w:r w:rsidR="00C422E9" w:rsidRPr="009A66BD">
        <w:rPr>
          <w:rFonts w:asciiTheme="minorHAnsi" w:eastAsia="Batang" w:hAnsiTheme="minorHAnsi" w:cstheme="minorHAnsi"/>
          <w:sz w:val="22"/>
          <w:szCs w:val="22"/>
          <w:lang w:val="sq-AL"/>
        </w:rPr>
        <w:t>.</w:t>
      </w:r>
    </w:p>
    <w:p w14:paraId="0E829E9E" w14:textId="77777777" w:rsidR="00C422E9" w:rsidRPr="009A66BD" w:rsidRDefault="00C422E9" w:rsidP="00C422E9">
      <w:pPr>
        <w:spacing w:after="120" w:line="254" w:lineRule="auto"/>
        <w:ind w:firstLine="0"/>
        <w:jc w:val="left"/>
        <w:rPr>
          <w:rFonts w:ascii="Calibri" w:eastAsiaTheme="minorEastAsia" w:hAnsi="Calibri" w:cs="Calibri"/>
          <w:sz w:val="22"/>
          <w:szCs w:val="22"/>
          <w:u w:val="single"/>
          <w:lang w:val="sq-AL"/>
        </w:rPr>
      </w:pPr>
    </w:p>
    <w:p w14:paraId="62F843AC" w14:textId="4C57638B" w:rsidR="00CC202C" w:rsidRDefault="007913EE" w:rsidP="00C422E9">
      <w:pPr>
        <w:spacing w:after="120" w:line="254" w:lineRule="auto"/>
        <w:ind w:firstLine="0"/>
        <w:rPr>
          <w:rFonts w:asciiTheme="minorHAnsi" w:eastAsiaTheme="minorEastAsia" w:hAnsiTheme="minorHAnsi" w:cstheme="minorHAnsi"/>
          <w:b/>
          <w:sz w:val="22"/>
          <w:lang w:val="sq-AL"/>
        </w:rPr>
      </w:pPr>
      <w:r>
        <w:rPr>
          <w:rFonts w:asciiTheme="minorHAnsi" w:eastAsiaTheme="minorEastAsia" w:hAnsiTheme="minorHAnsi" w:cstheme="minorHAnsi"/>
          <w:b/>
          <w:sz w:val="22"/>
          <w:lang w:val="sq-AL"/>
        </w:rPr>
        <w:t>Fush</w:t>
      </w:r>
      <w:r w:rsidR="006822F7">
        <w:rPr>
          <w:rFonts w:asciiTheme="minorHAnsi" w:eastAsiaTheme="minorEastAsia" w:hAnsiTheme="minorHAnsi" w:cstheme="minorHAnsi"/>
          <w:b/>
          <w:sz w:val="22"/>
          <w:lang w:val="sq-AL"/>
        </w:rPr>
        <w:t>ë</w:t>
      </w:r>
      <w:r>
        <w:rPr>
          <w:rFonts w:asciiTheme="minorHAnsi" w:eastAsiaTheme="minorEastAsia" w:hAnsiTheme="minorHAnsi" w:cstheme="minorHAnsi"/>
          <w:b/>
          <w:sz w:val="22"/>
          <w:lang w:val="sq-AL"/>
        </w:rPr>
        <w:t xml:space="preserve">veprimi </w:t>
      </w:r>
      <w:r w:rsidR="00CC202C" w:rsidRPr="00CC202C">
        <w:rPr>
          <w:rFonts w:asciiTheme="minorHAnsi" w:eastAsiaTheme="minorEastAsia" w:hAnsiTheme="minorHAnsi" w:cstheme="minorHAnsi"/>
          <w:b/>
          <w:sz w:val="22"/>
          <w:lang w:val="sq-AL"/>
        </w:rPr>
        <w:t>substancial i analizës</w:t>
      </w:r>
    </w:p>
    <w:p w14:paraId="13B6A717" w14:textId="47F4A4E1" w:rsidR="00C422E9" w:rsidRPr="009A66BD" w:rsidRDefault="007913EE" w:rsidP="00C422E9">
      <w:pPr>
        <w:spacing w:after="120" w:line="254" w:lineRule="auto"/>
        <w:ind w:firstLine="0"/>
        <w:rPr>
          <w:rFonts w:ascii="Calibri" w:eastAsiaTheme="minorEastAsia" w:hAnsi="Calibri" w:cs="Calibri"/>
          <w:sz w:val="22"/>
          <w:szCs w:val="22"/>
          <w:lang w:val="sq-AL"/>
        </w:rPr>
      </w:pPr>
      <w:r>
        <w:rPr>
          <w:rFonts w:ascii="Calibri" w:eastAsiaTheme="minorEastAsia" w:hAnsi="Calibri" w:cs="Calibri"/>
          <w:sz w:val="22"/>
          <w:szCs w:val="22"/>
          <w:lang w:val="sq-AL"/>
        </w:rPr>
        <w:t>Fush</w:t>
      </w:r>
      <w:r w:rsidR="006822F7">
        <w:rPr>
          <w:rFonts w:ascii="Calibri" w:eastAsiaTheme="minorEastAsia" w:hAnsi="Calibri" w:cs="Calibri"/>
          <w:sz w:val="22"/>
          <w:szCs w:val="22"/>
          <w:lang w:val="sq-AL"/>
        </w:rPr>
        <w:t>ë</w:t>
      </w:r>
      <w:r>
        <w:rPr>
          <w:rFonts w:ascii="Calibri" w:eastAsiaTheme="minorEastAsia" w:hAnsi="Calibri" w:cs="Calibri"/>
          <w:sz w:val="22"/>
          <w:szCs w:val="22"/>
          <w:lang w:val="sq-AL"/>
        </w:rPr>
        <w:t xml:space="preserve">veprimi </w:t>
      </w:r>
      <w:r w:rsidR="00F21974" w:rsidRPr="00F21974">
        <w:rPr>
          <w:rFonts w:ascii="Calibri" w:eastAsiaTheme="minorEastAsia" w:hAnsi="Calibri" w:cs="Calibri"/>
          <w:sz w:val="22"/>
          <w:szCs w:val="22"/>
          <w:lang w:val="sq-AL"/>
        </w:rPr>
        <w:t>substancial i analizës përfshin parimet e mëposhtme</w:t>
      </w:r>
      <w:r w:rsidR="00C422E9" w:rsidRPr="009A66BD">
        <w:rPr>
          <w:rFonts w:ascii="Calibri" w:eastAsiaTheme="minorEastAsia" w:hAnsi="Calibri" w:cs="Calibri"/>
          <w:sz w:val="22"/>
          <w:szCs w:val="22"/>
          <w:lang w:val="sq-AL"/>
        </w:rPr>
        <w:t>:</w:t>
      </w:r>
    </w:p>
    <w:p w14:paraId="6134EC54" w14:textId="5EF42469" w:rsidR="00C422E9" w:rsidRPr="009A66BD" w:rsidRDefault="00117EEB" w:rsidP="005B3DA8">
      <w:pPr>
        <w:numPr>
          <w:ilvl w:val="0"/>
          <w:numId w:val="2"/>
        </w:numPr>
        <w:spacing w:after="120" w:line="254" w:lineRule="auto"/>
        <w:contextualSpacing/>
        <w:jc w:val="left"/>
        <w:rPr>
          <w:rFonts w:ascii="Calibri" w:eastAsiaTheme="minorEastAsia" w:hAnsi="Calibri" w:cs="Calibri"/>
          <w:sz w:val="22"/>
          <w:szCs w:val="22"/>
          <w:lang w:val="sq-AL"/>
        </w:rPr>
      </w:pPr>
      <w:proofErr w:type="spellStart"/>
      <w:r w:rsidRPr="00117EEB">
        <w:rPr>
          <w:rFonts w:ascii="Calibri" w:eastAsiaTheme="minorEastAsia" w:hAnsi="Calibri" w:cs="Calibri"/>
          <w:sz w:val="22"/>
          <w:szCs w:val="22"/>
          <w:u w:val="single"/>
          <w:lang w:val="sq-AL"/>
        </w:rPr>
        <w:t>mosdiskriminimi</w:t>
      </w:r>
      <w:proofErr w:type="spellEnd"/>
      <w:r w:rsidRPr="00117EEB">
        <w:rPr>
          <w:rFonts w:ascii="Calibri" w:eastAsiaTheme="minorEastAsia" w:hAnsi="Calibri" w:cs="Calibri"/>
          <w:sz w:val="22"/>
          <w:szCs w:val="22"/>
          <w:u w:val="single"/>
          <w:lang w:val="sq-AL"/>
        </w:rPr>
        <w:t xml:space="preserve"> </w:t>
      </w:r>
      <w:r w:rsidR="00C422E9" w:rsidRPr="009A66BD">
        <w:rPr>
          <w:rFonts w:ascii="Calibri" w:eastAsiaTheme="minorEastAsia" w:hAnsi="Calibri" w:cs="Calibri"/>
          <w:sz w:val="22"/>
          <w:szCs w:val="22"/>
          <w:u w:val="single"/>
          <w:vertAlign w:val="superscript"/>
          <w:lang w:val="sq-AL"/>
        </w:rPr>
        <w:footnoteReference w:id="11"/>
      </w:r>
      <w:r w:rsidR="00C422E9" w:rsidRPr="009A66BD">
        <w:rPr>
          <w:rFonts w:ascii="Calibri" w:eastAsiaTheme="minorEastAsia" w:hAnsi="Calibri" w:cs="Calibri"/>
          <w:sz w:val="22"/>
          <w:szCs w:val="22"/>
          <w:u w:val="single"/>
          <w:lang w:val="sq-AL"/>
        </w:rPr>
        <w:t>:</w:t>
      </w:r>
      <w:r w:rsidR="00C422E9" w:rsidRPr="009A66BD">
        <w:rPr>
          <w:rFonts w:ascii="Calibri" w:eastAsiaTheme="minorEastAsia" w:hAnsi="Calibri" w:cs="Calibri"/>
          <w:sz w:val="22"/>
          <w:szCs w:val="22"/>
          <w:lang w:val="sq-AL"/>
        </w:rPr>
        <w:t xml:space="preserve"> </w:t>
      </w:r>
      <w:r w:rsidR="005B3DA8" w:rsidRPr="005B3DA8">
        <w:rPr>
          <w:rFonts w:ascii="Calibri" w:eastAsiaTheme="minorEastAsia" w:hAnsi="Calibri" w:cs="Calibri"/>
          <w:sz w:val="22"/>
          <w:szCs w:val="22"/>
          <w:lang w:val="sq-AL"/>
        </w:rPr>
        <w:t xml:space="preserve">sigurimi që asnjë ekonomi, nëpërmjet ligjeve ose rregulloreve të brendshme, të mos diskriminojë drejtpërdrejt ose tërthorazi në favor të investitorëve të vet ose në favor të një ekonomie të huaj mbi ekonomitë e tjera të huaja </w:t>
      </w:r>
      <w:r w:rsidR="00C422E9" w:rsidRPr="009A66BD">
        <w:rPr>
          <w:rFonts w:ascii="Calibri" w:eastAsiaTheme="minorEastAsia" w:hAnsi="Calibri" w:cs="Calibri"/>
          <w:sz w:val="22"/>
          <w:szCs w:val="22"/>
          <w:vertAlign w:val="superscript"/>
          <w:lang w:val="sq-AL"/>
        </w:rPr>
        <w:footnoteReference w:id="12"/>
      </w:r>
      <w:r w:rsidR="00C422E9" w:rsidRPr="009A66BD">
        <w:rPr>
          <w:rFonts w:ascii="Calibri" w:eastAsiaTheme="minorEastAsia" w:hAnsi="Calibri" w:cs="Calibri"/>
          <w:sz w:val="22"/>
          <w:szCs w:val="22"/>
          <w:lang w:val="sq-AL"/>
        </w:rPr>
        <w:t>;</w:t>
      </w:r>
    </w:p>
    <w:p w14:paraId="465B3D97" w14:textId="5D7A27E7" w:rsidR="00C422E9" w:rsidRPr="009A66BD" w:rsidRDefault="009B64D7" w:rsidP="009B64D7">
      <w:pPr>
        <w:numPr>
          <w:ilvl w:val="0"/>
          <w:numId w:val="2"/>
        </w:numPr>
        <w:spacing w:after="120" w:line="254" w:lineRule="auto"/>
        <w:contextualSpacing/>
        <w:jc w:val="left"/>
        <w:rPr>
          <w:rFonts w:ascii="Calibri" w:eastAsia="Batang" w:hAnsi="Calibri" w:cs="Calibri"/>
          <w:sz w:val="22"/>
          <w:szCs w:val="22"/>
          <w:lang w:val="sq-AL"/>
        </w:rPr>
      </w:pPr>
      <w:r w:rsidRPr="009B64D7">
        <w:rPr>
          <w:rFonts w:ascii="Calibri" w:eastAsiaTheme="minorEastAsia" w:hAnsi="Calibri" w:cs="Calibri"/>
          <w:sz w:val="22"/>
          <w:szCs w:val="22"/>
          <w:u w:val="single"/>
          <w:lang w:val="sq-AL"/>
        </w:rPr>
        <w:t xml:space="preserve">kërkesat e </w:t>
      </w:r>
      <w:proofErr w:type="spellStart"/>
      <w:r w:rsidRPr="009B64D7">
        <w:rPr>
          <w:rFonts w:ascii="Calibri" w:eastAsiaTheme="minorEastAsia" w:hAnsi="Calibri" w:cs="Calibri"/>
          <w:sz w:val="22"/>
          <w:szCs w:val="22"/>
          <w:u w:val="single"/>
          <w:lang w:val="sq-AL"/>
        </w:rPr>
        <w:t>performancës</w:t>
      </w:r>
      <w:proofErr w:type="spellEnd"/>
      <w:r w:rsidRPr="009B64D7">
        <w:rPr>
          <w:rFonts w:ascii="Calibri" w:eastAsiaTheme="minorEastAsia" w:hAnsi="Calibri" w:cs="Calibri"/>
          <w:sz w:val="22"/>
          <w:szCs w:val="22"/>
          <w:u w:val="single"/>
          <w:lang w:val="sq-AL"/>
        </w:rPr>
        <w:t xml:space="preserve">: </w:t>
      </w:r>
      <w:r w:rsidRPr="009B64D7">
        <w:rPr>
          <w:rFonts w:ascii="Calibri" w:eastAsiaTheme="minorEastAsia" w:hAnsi="Calibri" w:cs="Calibri"/>
          <w:sz w:val="22"/>
          <w:szCs w:val="22"/>
          <w:lang w:val="sq-AL"/>
        </w:rPr>
        <w:t>përcaktimi se asnjë ekonomi nuk do t</w:t>
      </w:r>
      <w:r w:rsidR="007913EE">
        <w:rPr>
          <w:rFonts w:ascii="Calibri" w:eastAsiaTheme="minorEastAsia" w:hAnsi="Calibri" w:cs="Calibri"/>
          <w:sz w:val="22"/>
          <w:szCs w:val="22"/>
          <w:lang w:val="sq-AL"/>
        </w:rPr>
        <w:t>’u</w:t>
      </w:r>
      <w:r w:rsidRPr="009B64D7">
        <w:rPr>
          <w:rFonts w:ascii="Calibri" w:eastAsiaTheme="minorEastAsia" w:hAnsi="Calibri" w:cs="Calibri"/>
          <w:sz w:val="22"/>
          <w:szCs w:val="22"/>
          <w:lang w:val="sq-AL"/>
        </w:rPr>
        <w:t xml:space="preserve"> kërkojë investitorë</w:t>
      </w:r>
      <w:r w:rsidR="007913EE">
        <w:rPr>
          <w:rFonts w:ascii="Calibri" w:eastAsiaTheme="minorEastAsia" w:hAnsi="Calibri" w:cs="Calibri"/>
          <w:sz w:val="22"/>
          <w:szCs w:val="22"/>
          <w:lang w:val="sq-AL"/>
        </w:rPr>
        <w:t>ve</w:t>
      </w:r>
      <w:r w:rsidRPr="009B64D7">
        <w:rPr>
          <w:rFonts w:ascii="Calibri" w:eastAsiaTheme="minorEastAsia" w:hAnsi="Calibri" w:cs="Calibri"/>
          <w:sz w:val="22"/>
          <w:szCs w:val="22"/>
          <w:lang w:val="sq-AL"/>
        </w:rPr>
        <w:t xml:space="preserve"> të huaj të përmbush</w:t>
      </w:r>
      <w:r w:rsidR="007913EE">
        <w:rPr>
          <w:rFonts w:ascii="Calibri" w:eastAsiaTheme="minorEastAsia" w:hAnsi="Calibri" w:cs="Calibri"/>
          <w:sz w:val="22"/>
          <w:szCs w:val="22"/>
          <w:lang w:val="sq-AL"/>
        </w:rPr>
        <w:t xml:space="preserve">in </w:t>
      </w:r>
      <w:r w:rsidRPr="009B64D7">
        <w:rPr>
          <w:rFonts w:ascii="Calibri" w:eastAsiaTheme="minorEastAsia" w:hAnsi="Calibri" w:cs="Calibri"/>
          <w:sz w:val="22"/>
          <w:szCs w:val="22"/>
          <w:lang w:val="sq-AL"/>
        </w:rPr>
        <w:t xml:space="preserve">disa qëllime të caktuara </w:t>
      </w:r>
      <w:r w:rsidR="007913EE">
        <w:rPr>
          <w:rFonts w:ascii="Calibri" w:eastAsiaTheme="minorEastAsia" w:hAnsi="Calibri" w:cs="Calibri"/>
          <w:sz w:val="22"/>
          <w:szCs w:val="22"/>
          <w:lang w:val="sq-AL"/>
        </w:rPr>
        <w:t>t</w:t>
      </w:r>
      <w:r w:rsidR="006822F7">
        <w:rPr>
          <w:rFonts w:ascii="Calibri" w:eastAsiaTheme="minorEastAsia" w:hAnsi="Calibri" w:cs="Calibri"/>
          <w:sz w:val="22"/>
          <w:szCs w:val="22"/>
          <w:lang w:val="sq-AL"/>
        </w:rPr>
        <w:t>ë</w:t>
      </w:r>
      <w:r w:rsidR="007913EE">
        <w:rPr>
          <w:rFonts w:ascii="Calibri" w:eastAsiaTheme="minorEastAsia" w:hAnsi="Calibri" w:cs="Calibri"/>
          <w:sz w:val="22"/>
          <w:szCs w:val="22"/>
          <w:lang w:val="sq-AL"/>
        </w:rPr>
        <w:t xml:space="preserve"> specifikuara </w:t>
      </w:r>
      <w:r w:rsidRPr="009B64D7">
        <w:rPr>
          <w:rFonts w:ascii="Calibri" w:eastAsiaTheme="minorEastAsia" w:hAnsi="Calibri" w:cs="Calibri"/>
          <w:sz w:val="22"/>
          <w:szCs w:val="22"/>
          <w:lang w:val="sq-AL"/>
        </w:rPr>
        <w:t>në lidhje me operacionet e tyre në ekonominë pritëse</w:t>
      </w:r>
      <w:r w:rsidR="00C422E9" w:rsidRPr="009A66BD">
        <w:rPr>
          <w:rFonts w:ascii="Calibri" w:eastAsiaTheme="minorEastAsia" w:hAnsi="Calibri" w:cs="Calibri"/>
          <w:sz w:val="22"/>
          <w:szCs w:val="22"/>
          <w:lang w:val="sq-AL"/>
        </w:rPr>
        <w:t xml:space="preserve">; </w:t>
      </w:r>
    </w:p>
    <w:p w14:paraId="355692FD" w14:textId="333044E0" w:rsidR="00C422E9" w:rsidRPr="009A66BD" w:rsidRDefault="00FD2194" w:rsidP="00FD2194">
      <w:pPr>
        <w:numPr>
          <w:ilvl w:val="0"/>
          <w:numId w:val="2"/>
        </w:numPr>
        <w:spacing w:after="120" w:line="254" w:lineRule="auto"/>
        <w:contextualSpacing/>
        <w:jc w:val="left"/>
        <w:rPr>
          <w:rFonts w:ascii="Calibri" w:eastAsia="Batang" w:hAnsi="Calibri" w:cs="Calibri"/>
          <w:sz w:val="22"/>
          <w:szCs w:val="22"/>
          <w:lang w:val="sq-AL"/>
        </w:rPr>
      </w:pPr>
      <w:r w:rsidRPr="00FD2194">
        <w:rPr>
          <w:rFonts w:ascii="Calibri" w:eastAsiaTheme="minorEastAsia" w:hAnsi="Calibri" w:cs="Calibri"/>
          <w:sz w:val="22"/>
          <w:szCs w:val="22"/>
          <w:u w:val="single"/>
          <w:lang w:val="sq-AL"/>
        </w:rPr>
        <w:t xml:space="preserve">qasja në treg: </w:t>
      </w:r>
      <w:r w:rsidRPr="00FD2194">
        <w:rPr>
          <w:rFonts w:ascii="Calibri" w:eastAsiaTheme="minorEastAsia" w:hAnsi="Calibri" w:cs="Calibri"/>
          <w:sz w:val="22"/>
          <w:szCs w:val="22"/>
          <w:lang w:val="sq-AL"/>
        </w:rPr>
        <w:t xml:space="preserve">sigurimi që asnjë ekonomi </w:t>
      </w:r>
      <w:r w:rsidR="007913EE">
        <w:rPr>
          <w:rFonts w:ascii="Calibri" w:eastAsiaTheme="minorEastAsia" w:hAnsi="Calibri" w:cs="Calibri"/>
          <w:sz w:val="22"/>
          <w:szCs w:val="22"/>
          <w:lang w:val="sq-AL"/>
        </w:rPr>
        <w:t>t</w:t>
      </w:r>
      <w:r w:rsidR="006822F7">
        <w:rPr>
          <w:rFonts w:ascii="Calibri" w:eastAsiaTheme="minorEastAsia" w:hAnsi="Calibri" w:cs="Calibri"/>
          <w:sz w:val="22"/>
          <w:szCs w:val="22"/>
          <w:lang w:val="sq-AL"/>
        </w:rPr>
        <w:t>ë</w:t>
      </w:r>
      <w:r w:rsidR="007913EE">
        <w:rPr>
          <w:rFonts w:ascii="Calibri" w:eastAsiaTheme="minorEastAsia" w:hAnsi="Calibri" w:cs="Calibri"/>
          <w:sz w:val="22"/>
          <w:szCs w:val="22"/>
          <w:lang w:val="sq-AL"/>
        </w:rPr>
        <w:t xml:space="preserve"> mos </w:t>
      </w:r>
      <w:r w:rsidRPr="00FD2194">
        <w:rPr>
          <w:rFonts w:ascii="Calibri" w:eastAsiaTheme="minorEastAsia" w:hAnsi="Calibri" w:cs="Calibri"/>
          <w:sz w:val="22"/>
          <w:szCs w:val="22"/>
          <w:lang w:val="sq-AL"/>
        </w:rPr>
        <w:t xml:space="preserve">imponojë kufizime sasiore </w:t>
      </w:r>
      <w:proofErr w:type="spellStart"/>
      <w:r w:rsidRPr="00FD2194">
        <w:rPr>
          <w:rFonts w:ascii="Calibri" w:eastAsiaTheme="minorEastAsia" w:hAnsi="Calibri" w:cs="Calibri"/>
          <w:sz w:val="22"/>
          <w:szCs w:val="22"/>
          <w:lang w:val="sq-AL"/>
        </w:rPr>
        <w:t>mosdiskriminuese</w:t>
      </w:r>
      <w:proofErr w:type="spellEnd"/>
      <w:r w:rsidRPr="00FD2194">
        <w:rPr>
          <w:rFonts w:ascii="Calibri" w:eastAsiaTheme="minorEastAsia" w:hAnsi="Calibri" w:cs="Calibri"/>
          <w:sz w:val="22"/>
          <w:szCs w:val="22"/>
          <w:lang w:val="sq-AL"/>
        </w:rPr>
        <w:t xml:space="preserve"> për pranimin dhe </w:t>
      </w:r>
      <w:r w:rsidR="007913EE">
        <w:rPr>
          <w:rFonts w:ascii="Calibri" w:eastAsiaTheme="minorEastAsia" w:hAnsi="Calibri" w:cs="Calibri"/>
          <w:sz w:val="22"/>
          <w:szCs w:val="22"/>
          <w:lang w:val="sq-AL"/>
        </w:rPr>
        <w:t xml:space="preserve">themelimin </w:t>
      </w:r>
      <w:r w:rsidRPr="00FD2194">
        <w:rPr>
          <w:rFonts w:ascii="Calibri" w:eastAsiaTheme="minorEastAsia" w:hAnsi="Calibri" w:cs="Calibri"/>
          <w:sz w:val="22"/>
          <w:szCs w:val="22"/>
          <w:lang w:val="sq-AL"/>
        </w:rPr>
        <w:t>e investitorëve të huaj; p.sh</w:t>
      </w:r>
      <w:r w:rsidR="00C422E9" w:rsidRPr="009A66BD">
        <w:rPr>
          <w:rFonts w:ascii="Calibri" w:eastAsiaTheme="minorEastAsia" w:hAnsi="Calibri" w:cs="Calibri"/>
          <w:sz w:val="22"/>
          <w:szCs w:val="22"/>
          <w:lang w:val="sq-AL"/>
        </w:rPr>
        <w:t>.</w:t>
      </w:r>
    </w:p>
    <w:p w14:paraId="003933FB" w14:textId="77777777" w:rsidR="00FD2194" w:rsidRPr="00FD2194" w:rsidRDefault="00FD2194" w:rsidP="00FD2194">
      <w:pPr>
        <w:numPr>
          <w:ilvl w:val="1"/>
          <w:numId w:val="2"/>
        </w:numPr>
        <w:spacing w:after="120" w:line="254" w:lineRule="auto"/>
        <w:contextualSpacing/>
        <w:jc w:val="left"/>
        <w:rPr>
          <w:rFonts w:ascii="Calibri" w:eastAsia="Batang" w:hAnsi="Calibri" w:cs="Calibri"/>
          <w:sz w:val="22"/>
          <w:szCs w:val="22"/>
          <w:lang w:val="sq-AL"/>
        </w:rPr>
      </w:pPr>
      <w:r w:rsidRPr="00FD2194">
        <w:rPr>
          <w:rFonts w:ascii="Calibri" w:eastAsiaTheme="minorEastAsia" w:hAnsi="Calibri" w:cs="Calibri"/>
          <w:sz w:val="22"/>
          <w:szCs w:val="22"/>
          <w:lang w:val="sq-AL"/>
        </w:rPr>
        <w:t>ndalimi i investimeve të huaja në sektorë të caktua</w:t>
      </w:r>
    </w:p>
    <w:p w14:paraId="025FE291" w14:textId="049FF1A1" w:rsidR="001A0158" w:rsidRPr="001A0158" w:rsidRDefault="001A0158" w:rsidP="001A0158">
      <w:pPr>
        <w:numPr>
          <w:ilvl w:val="1"/>
          <w:numId w:val="2"/>
        </w:numPr>
        <w:spacing w:after="120" w:line="254" w:lineRule="auto"/>
        <w:contextualSpacing/>
        <w:jc w:val="left"/>
        <w:rPr>
          <w:rFonts w:ascii="Calibri" w:eastAsia="Batang" w:hAnsi="Calibri" w:cs="Calibri"/>
          <w:sz w:val="22"/>
          <w:szCs w:val="22"/>
          <w:lang w:val="sq-AL"/>
        </w:rPr>
      </w:pPr>
      <w:r w:rsidRPr="001A0158">
        <w:rPr>
          <w:rFonts w:ascii="Calibri" w:eastAsiaTheme="minorEastAsia" w:hAnsi="Calibri" w:cs="Calibri"/>
          <w:sz w:val="22"/>
          <w:szCs w:val="22"/>
          <w:lang w:val="sq-AL"/>
        </w:rPr>
        <w:lastRenderedPageBreak/>
        <w:t xml:space="preserve">kërkesat </w:t>
      </w:r>
      <w:r w:rsidR="007913EE">
        <w:rPr>
          <w:rFonts w:ascii="Calibri" w:eastAsiaTheme="minorEastAsia" w:hAnsi="Calibri" w:cs="Calibri"/>
          <w:sz w:val="22"/>
          <w:szCs w:val="22"/>
          <w:lang w:val="sq-AL"/>
        </w:rPr>
        <w:t xml:space="preserve">e </w:t>
      </w:r>
      <w:r w:rsidRPr="001A0158">
        <w:rPr>
          <w:rFonts w:ascii="Calibri" w:eastAsiaTheme="minorEastAsia" w:hAnsi="Calibri" w:cs="Calibri"/>
          <w:sz w:val="22"/>
          <w:szCs w:val="22"/>
          <w:lang w:val="sq-AL"/>
        </w:rPr>
        <w:t>kapitalit</w:t>
      </w:r>
      <w:r w:rsidR="007913EE">
        <w:rPr>
          <w:rFonts w:ascii="Calibri" w:eastAsiaTheme="minorEastAsia" w:hAnsi="Calibri" w:cs="Calibri"/>
          <w:sz w:val="22"/>
          <w:szCs w:val="22"/>
          <w:lang w:val="sq-AL"/>
        </w:rPr>
        <w:t xml:space="preserve"> minimal</w:t>
      </w:r>
    </w:p>
    <w:p w14:paraId="05BFA4DC" w14:textId="07056C95" w:rsidR="001A0158" w:rsidRPr="001A0158" w:rsidRDefault="001A0158" w:rsidP="001A0158">
      <w:pPr>
        <w:numPr>
          <w:ilvl w:val="1"/>
          <w:numId w:val="2"/>
        </w:numPr>
        <w:spacing w:after="120" w:line="254" w:lineRule="auto"/>
        <w:contextualSpacing/>
        <w:jc w:val="left"/>
        <w:rPr>
          <w:rFonts w:ascii="Calibri" w:eastAsiaTheme="minorEastAsia" w:hAnsi="Calibri" w:cs="Calibri"/>
          <w:sz w:val="22"/>
          <w:szCs w:val="22"/>
          <w:lang w:val="sq-AL"/>
        </w:rPr>
      </w:pPr>
      <w:r w:rsidRPr="001A0158">
        <w:rPr>
          <w:rFonts w:ascii="Calibri" w:eastAsiaTheme="minorEastAsia" w:hAnsi="Calibri" w:cs="Calibri"/>
          <w:sz w:val="22"/>
          <w:szCs w:val="22"/>
          <w:lang w:val="sq-AL"/>
        </w:rPr>
        <w:t>kufijtë</w:t>
      </w:r>
      <w:r w:rsidR="007913EE">
        <w:rPr>
          <w:rFonts w:ascii="Calibri" w:eastAsiaTheme="minorEastAsia" w:hAnsi="Calibri" w:cs="Calibri"/>
          <w:sz w:val="22"/>
          <w:szCs w:val="22"/>
          <w:lang w:val="sq-AL"/>
        </w:rPr>
        <w:t>/tavanet</w:t>
      </w:r>
      <w:r w:rsidRPr="001A0158">
        <w:rPr>
          <w:rFonts w:ascii="Calibri" w:eastAsiaTheme="minorEastAsia" w:hAnsi="Calibri" w:cs="Calibri"/>
          <w:sz w:val="22"/>
          <w:szCs w:val="22"/>
          <w:lang w:val="sq-AL"/>
        </w:rPr>
        <w:t xml:space="preserve"> e kapitalit të huaj</w:t>
      </w:r>
    </w:p>
    <w:p w14:paraId="4110F5BB" w14:textId="13FFAE88" w:rsidR="00C422E9" w:rsidRPr="009A66BD" w:rsidRDefault="00612497" w:rsidP="00612497">
      <w:pPr>
        <w:numPr>
          <w:ilvl w:val="0"/>
          <w:numId w:val="2"/>
        </w:numPr>
        <w:spacing w:after="120" w:line="254" w:lineRule="auto"/>
        <w:jc w:val="left"/>
        <w:rPr>
          <w:rFonts w:ascii="Calibri" w:eastAsia="Batang" w:hAnsi="Calibri" w:cs="Calibri"/>
          <w:sz w:val="22"/>
          <w:szCs w:val="22"/>
          <w:lang w:val="sq-AL"/>
        </w:rPr>
      </w:pPr>
      <w:proofErr w:type="spellStart"/>
      <w:r w:rsidRPr="00612497">
        <w:rPr>
          <w:rFonts w:ascii="Calibri" w:eastAsia="Batang" w:hAnsi="Calibri" w:cs="Calibri"/>
          <w:sz w:val="22"/>
          <w:szCs w:val="22"/>
          <w:u w:val="single"/>
          <w:lang w:val="sq-AL"/>
        </w:rPr>
        <w:t>menaxhmenti</w:t>
      </w:r>
      <w:proofErr w:type="spellEnd"/>
      <w:r w:rsidRPr="00612497">
        <w:rPr>
          <w:rFonts w:ascii="Calibri" w:eastAsia="Batang" w:hAnsi="Calibri" w:cs="Calibri"/>
          <w:sz w:val="22"/>
          <w:szCs w:val="22"/>
          <w:u w:val="single"/>
          <w:lang w:val="sq-AL"/>
        </w:rPr>
        <w:t xml:space="preserve"> i lartë / bordi i drejtorëve: </w:t>
      </w:r>
      <w:r w:rsidRPr="00612497">
        <w:rPr>
          <w:rFonts w:ascii="Calibri" w:eastAsia="Batang" w:hAnsi="Calibri" w:cs="Calibri"/>
          <w:sz w:val="22"/>
          <w:szCs w:val="22"/>
          <w:lang w:val="sq-AL"/>
        </w:rPr>
        <w:t xml:space="preserve">sigurimi që investitorët e huaj kanë të drejtë të angazhojnë personelin e lartë </w:t>
      </w:r>
      <w:proofErr w:type="spellStart"/>
      <w:r w:rsidR="007913EE">
        <w:rPr>
          <w:rFonts w:ascii="Calibri" w:eastAsia="Batang" w:hAnsi="Calibri" w:cs="Calibri"/>
          <w:sz w:val="22"/>
          <w:szCs w:val="22"/>
          <w:lang w:val="sq-AL"/>
        </w:rPr>
        <w:t>menaxherial</w:t>
      </w:r>
      <w:proofErr w:type="spellEnd"/>
      <w:r w:rsidR="007913EE">
        <w:rPr>
          <w:rFonts w:ascii="Calibri" w:eastAsia="Batang" w:hAnsi="Calibri" w:cs="Calibri"/>
          <w:sz w:val="22"/>
          <w:szCs w:val="22"/>
          <w:lang w:val="sq-AL"/>
        </w:rPr>
        <w:t xml:space="preserve"> </w:t>
      </w:r>
      <w:r w:rsidRPr="00612497">
        <w:rPr>
          <w:rFonts w:ascii="Calibri" w:eastAsia="Batang" w:hAnsi="Calibri" w:cs="Calibri"/>
          <w:sz w:val="22"/>
          <w:szCs w:val="22"/>
          <w:lang w:val="sq-AL"/>
        </w:rPr>
        <w:t xml:space="preserve">sipas zgjedhjes së tyre, pavarësisht nga </w:t>
      </w:r>
      <w:r w:rsidR="007913EE">
        <w:rPr>
          <w:rFonts w:ascii="Calibri" w:eastAsia="Batang" w:hAnsi="Calibri" w:cs="Calibri"/>
          <w:sz w:val="22"/>
          <w:szCs w:val="22"/>
          <w:lang w:val="sq-AL"/>
        </w:rPr>
        <w:t>nacionaliteti</w:t>
      </w:r>
      <w:r w:rsidR="00C422E9" w:rsidRPr="009A66BD">
        <w:rPr>
          <w:rFonts w:ascii="Calibri" w:eastAsia="Batang" w:hAnsi="Calibri" w:cs="Calibri"/>
          <w:sz w:val="22"/>
          <w:szCs w:val="22"/>
          <w:lang w:val="sq-AL"/>
        </w:rPr>
        <w:t>.</w:t>
      </w:r>
    </w:p>
    <w:p w14:paraId="42AFF0A8" w14:textId="469BAF36" w:rsidR="00C422E9" w:rsidRPr="009A66BD" w:rsidRDefault="005905EF" w:rsidP="00C422E9">
      <w:pPr>
        <w:spacing w:after="120" w:line="254" w:lineRule="auto"/>
        <w:ind w:firstLine="0"/>
        <w:rPr>
          <w:rFonts w:asciiTheme="minorHAnsi" w:eastAsia="Batang" w:hAnsiTheme="minorHAnsi" w:cstheme="minorBidi"/>
          <w:sz w:val="22"/>
          <w:szCs w:val="22"/>
          <w:lang w:val="sq-AL"/>
        </w:rPr>
      </w:pPr>
      <w:r w:rsidRPr="005905EF">
        <w:rPr>
          <w:rFonts w:asciiTheme="minorHAnsi" w:eastAsia="Batang" w:hAnsiTheme="minorHAnsi" w:cstheme="minorBidi"/>
          <w:sz w:val="22"/>
          <w:szCs w:val="22"/>
          <w:lang w:val="sq-AL"/>
        </w:rPr>
        <w:t xml:space="preserve">Sa herë që një ligj ose rregullore shkel një nga parimet e renditura më lart, kjo përbën një pengesë ligjore </w:t>
      </w:r>
      <w:r w:rsidR="00500C5D">
        <w:rPr>
          <w:rFonts w:asciiTheme="minorHAnsi" w:eastAsia="Batang" w:hAnsiTheme="minorHAnsi" w:cstheme="minorBidi"/>
          <w:sz w:val="22"/>
          <w:szCs w:val="22"/>
          <w:lang w:val="sq-AL"/>
        </w:rPr>
        <w:t>t</w:t>
      </w:r>
      <w:r w:rsidR="006822F7">
        <w:rPr>
          <w:rFonts w:asciiTheme="minorHAnsi" w:eastAsia="Batang" w:hAnsiTheme="minorHAnsi" w:cstheme="minorBidi"/>
          <w:sz w:val="22"/>
          <w:szCs w:val="22"/>
          <w:lang w:val="sq-AL"/>
        </w:rPr>
        <w:t>ë</w:t>
      </w:r>
      <w:r w:rsidR="00500C5D">
        <w:rPr>
          <w:rFonts w:asciiTheme="minorHAnsi" w:eastAsia="Batang" w:hAnsiTheme="minorHAnsi" w:cstheme="minorBidi"/>
          <w:sz w:val="22"/>
          <w:szCs w:val="22"/>
          <w:lang w:val="sq-AL"/>
        </w:rPr>
        <w:t xml:space="preserve"> </w:t>
      </w:r>
      <w:r w:rsidRPr="005905EF">
        <w:rPr>
          <w:rFonts w:asciiTheme="minorHAnsi" w:eastAsia="Batang" w:hAnsiTheme="minorHAnsi" w:cstheme="minorBidi"/>
          <w:sz w:val="22"/>
          <w:szCs w:val="22"/>
          <w:lang w:val="sq-AL"/>
        </w:rPr>
        <w:t>hyrje</w:t>
      </w:r>
      <w:r w:rsidR="00500C5D">
        <w:rPr>
          <w:rFonts w:asciiTheme="minorHAnsi" w:eastAsia="Batang" w:hAnsiTheme="minorHAnsi" w:cstheme="minorBidi"/>
          <w:sz w:val="22"/>
          <w:szCs w:val="22"/>
          <w:lang w:val="sq-AL"/>
        </w:rPr>
        <w:t xml:space="preserve">s </w:t>
      </w:r>
      <w:r w:rsidRPr="005905EF">
        <w:rPr>
          <w:rFonts w:asciiTheme="minorHAnsi" w:eastAsia="Batang" w:hAnsiTheme="minorHAnsi" w:cstheme="minorBidi"/>
          <w:sz w:val="22"/>
          <w:szCs w:val="22"/>
          <w:lang w:val="sq-AL"/>
        </w:rPr>
        <w:t xml:space="preserve">për investitorët e huaj dhe për këtë arsye duhet të renditet për të rritur transparencën. Më e rëndësishmja, kjo nuk do të thotë që ligji apo rregullorja specifike duhet të ndryshohet ose hiqet vetvetiu, pasi që mund të ketë qëllime të rëndësishme të politikës </w:t>
      </w:r>
      <w:r w:rsidR="00500C5D">
        <w:rPr>
          <w:rFonts w:asciiTheme="minorHAnsi" w:eastAsia="Batang" w:hAnsiTheme="minorHAnsi" w:cstheme="minorBidi"/>
          <w:sz w:val="22"/>
          <w:szCs w:val="22"/>
          <w:lang w:val="sq-AL"/>
        </w:rPr>
        <w:t>prapa saj</w:t>
      </w:r>
      <w:r w:rsidRPr="005905EF">
        <w:rPr>
          <w:rFonts w:asciiTheme="minorHAnsi" w:eastAsia="Batang" w:hAnsiTheme="minorHAnsi" w:cstheme="minorBidi"/>
          <w:sz w:val="22"/>
          <w:szCs w:val="22"/>
          <w:lang w:val="sq-AL"/>
        </w:rPr>
        <w:t xml:space="preserve">, por </w:t>
      </w:r>
      <w:r w:rsidR="00500C5D">
        <w:rPr>
          <w:rFonts w:asciiTheme="minorHAnsi" w:eastAsia="Batang" w:hAnsiTheme="minorHAnsi" w:cstheme="minorBidi"/>
          <w:sz w:val="22"/>
          <w:szCs w:val="22"/>
          <w:lang w:val="sq-AL"/>
        </w:rPr>
        <w:t xml:space="preserve">ajo </w:t>
      </w:r>
      <w:r w:rsidRPr="005905EF">
        <w:rPr>
          <w:rFonts w:asciiTheme="minorHAnsi" w:eastAsia="Batang" w:hAnsiTheme="minorHAnsi" w:cstheme="minorBidi"/>
          <w:sz w:val="22"/>
          <w:szCs w:val="22"/>
          <w:lang w:val="sq-AL"/>
        </w:rPr>
        <w:t>mund të rishikohet në aspekt</w:t>
      </w:r>
      <w:r w:rsidR="00500C5D">
        <w:rPr>
          <w:rFonts w:asciiTheme="minorHAnsi" w:eastAsia="Batang" w:hAnsiTheme="minorHAnsi" w:cstheme="minorBidi"/>
          <w:sz w:val="22"/>
          <w:szCs w:val="22"/>
          <w:lang w:val="sq-AL"/>
        </w:rPr>
        <w:t>in se a e shtyn</w:t>
      </w:r>
      <w:r w:rsidR="006822F7">
        <w:rPr>
          <w:rFonts w:asciiTheme="minorHAnsi" w:eastAsia="Batang" w:hAnsiTheme="minorHAnsi" w:cstheme="minorBidi"/>
          <w:sz w:val="22"/>
          <w:szCs w:val="22"/>
          <w:lang w:val="sq-AL"/>
        </w:rPr>
        <w:t>ë</w:t>
      </w:r>
      <w:r w:rsidR="00500C5D">
        <w:rPr>
          <w:rFonts w:asciiTheme="minorHAnsi" w:eastAsia="Batang" w:hAnsiTheme="minorHAnsi" w:cstheme="minorBidi"/>
          <w:sz w:val="22"/>
          <w:szCs w:val="22"/>
          <w:lang w:val="sq-AL"/>
        </w:rPr>
        <w:t xml:space="preserve"> ajo </w:t>
      </w:r>
      <w:r w:rsidRPr="005905EF">
        <w:rPr>
          <w:rFonts w:asciiTheme="minorHAnsi" w:eastAsia="Batang" w:hAnsiTheme="minorHAnsi" w:cstheme="minorBidi"/>
          <w:sz w:val="22"/>
          <w:szCs w:val="22"/>
          <w:lang w:val="sq-AL"/>
        </w:rPr>
        <w:t xml:space="preserve">vërtetë </w:t>
      </w:r>
      <w:r w:rsidR="00500C5D">
        <w:rPr>
          <w:rFonts w:asciiTheme="minorHAnsi" w:eastAsia="Batang" w:hAnsiTheme="minorHAnsi" w:cstheme="minorBidi"/>
          <w:sz w:val="22"/>
          <w:szCs w:val="22"/>
          <w:lang w:val="sq-AL"/>
        </w:rPr>
        <w:t>p</w:t>
      </w:r>
      <w:r w:rsidR="006822F7">
        <w:rPr>
          <w:rFonts w:asciiTheme="minorHAnsi" w:eastAsia="Batang" w:hAnsiTheme="minorHAnsi" w:cstheme="minorBidi"/>
          <w:sz w:val="22"/>
          <w:szCs w:val="22"/>
          <w:lang w:val="sq-AL"/>
        </w:rPr>
        <w:t>ë</w:t>
      </w:r>
      <w:r w:rsidR="00500C5D">
        <w:rPr>
          <w:rFonts w:asciiTheme="minorHAnsi" w:eastAsia="Batang" w:hAnsiTheme="minorHAnsi" w:cstheme="minorBidi"/>
          <w:sz w:val="22"/>
          <w:szCs w:val="22"/>
          <w:lang w:val="sq-AL"/>
        </w:rPr>
        <w:t xml:space="preserve">rpara </w:t>
      </w:r>
      <w:r w:rsidRPr="005905EF">
        <w:rPr>
          <w:rFonts w:asciiTheme="minorHAnsi" w:eastAsia="Batang" w:hAnsiTheme="minorHAnsi" w:cstheme="minorBidi"/>
          <w:sz w:val="22"/>
          <w:szCs w:val="22"/>
          <w:lang w:val="sq-AL"/>
        </w:rPr>
        <w:t>qëllimin e synuar</w:t>
      </w:r>
      <w:r w:rsidR="00C422E9" w:rsidRPr="009A66BD">
        <w:rPr>
          <w:rFonts w:asciiTheme="minorHAnsi" w:eastAsia="Batang" w:hAnsiTheme="minorHAnsi" w:cstheme="minorBidi"/>
          <w:sz w:val="22"/>
          <w:szCs w:val="22"/>
          <w:lang w:val="sq-AL"/>
        </w:rPr>
        <w:t>.</w:t>
      </w:r>
    </w:p>
    <w:p w14:paraId="72B0422F" w14:textId="251EF7FD" w:rsidR="00C422E9" w:rsidRPr="009A66BD" w:rsidRDefault="00500C5D" w:rsidP="00C422E9">
      <w:pPr>
        <w:spacing w:after="120" w:line="254" w:lineRule="auto"/>
        <w:ind w:firstLine="0"/>
        <w:rPr>
          <w:rFonts w:ascii="Calibri" w:eastAsiaTheme="minorEastAsia" w:hAnsi="Calibri" w:cs="Calibri"/>
          <w:sz w:val="22"/>
          <w:szCs w:val="22"/>
          <w:lang w:val="sq-AL"/>
        </w:rPr>
      </w:pPr>
      <w:r>
        <w:rPr>
          <w:rFonts w:ascii="Calibri" w:eastAsiaTheme="minorEastAsia" w:hAnsi="Calibri" w:cs="Calibri"/>
          <w:sz w:val="22"/>
          <w:szCs w:val="22"/>
          <w:lang w:val="sq-AL"/>
        </w:rPr>
        <w:t>Fush</w:t>
      </w:r>
      <w:r w:rsidR="006822F7">
        <w:rPr>
          <w:rFonts w:ascii="Calibri" w:eastAsiaTheme="minorEastAsia" w:hAnsi="Calibri" w:cs="Calibri"/>
          <w:sz w:val="22"/>
          <w:szCs w:val="22"/>
          <w:lang w:val="sq-AL"/>
        </w:rPr>
        <w:t>ë</w:t>
      </w:r>
      <w:r>
        <w:rPr>
          <w:rFonts w:ascii="Calibri" w:eastAsiaTheme="minorEastAsia" w:hAnsi="Calibri" w:cs="Calibri"/>
          <w:sz w:val="22"/>
          <w:szCs w:val="22"/>
          <w:lang w:val="sq-AL"/>
        </w:rPr>
        <w:t>veprimi s</w:t>
      </w:r>
      <w:r w:rsidR="00B6519A" w:rsidRPr="00B6519A">
        <w:rPr>
          <w:rFonts w:ascii="Calibri" w:eastAsiaTheme="minorEastAsia" w:hAnsi="Calibri" w:cs="Calibri"/>
          <w:sz w:val="22"/>
          <w:szCs w:val="22"/>
          <w:lang w:val="sq-AL"/>
        </w:rPr>
        <w:t xml:space="preserve">ubstancial i analizës bazohet në garancitë bazë të parapara </w:t>
      </w:r>
      <w:r>
        <w:rPr>
          <w:rFonts w:ascii="Calibri" w:eastAsiaTheme="minorEastAsia" w:hAnsi="Calibri" w:cs="Calibri"/>
          <w:sz w:val="22"/>
          <w:szCs w:val="22"/>
          <w:lang w:val="sq-AL"/>
        </w:rPr>
        <w:t>p</w:t>
      </w:r>
      <w:r w:rsidR="006822F7">
        <w:rPr>
          <w:rFonts w:ascii="Calibri" w:eastAsiaTheme="minorEastAsia" w:hAnsi="Calibri" w:cs="Calibri"/>
          <w:sz w:val="22"/>
          <w:szCs w:val="22"/>
          <w:lang w:val="sq-AL"/>
        </w:rPr>
        <w:t>ë</w:t>
      </w:r>
      <w:r>
        <w:rPr>
          <w:rFonts w:ascii="Calibri" w:eastAsiaTheme="minorEastAsia" w:hAnsi="Calibri" w:cs="Calibri"/>
          <w:sz w:val="22"/>
          <w:szCs w:val="22"/>
          <w:lang w:val="sq-AL"/>
        </w:rPr>
        <w:t>rgjith</w:t>
      </w:r>
      <w:r w:rsidR="006822F7">
        <w:rPr>
          <w:rFonts w:ascii="Calibri" w:eastAsiaTheme="minorEastAsia" w:hAnsi="Calibri" w:cs="Calibri"/>
          <w:sz w:val="22"/>
          <w:szCs w:val="22"/>
          <w:lang w:val="sq-AL"/>
        </w:rPr>
        <w:t>ë</w:t>
      </w:r>
      <w:r>
        <w:rPr>
          <w:rFonts w:ascii="Calibri" w:eastAsiaTheme="minorEastAsia" w:hAnsi="Calibri" w:cs="Calibri"/>
          <w:sz w:val="22"/>
          <w:szCs w:val="22"/>
          <w:lang w:val="sq-AL"/>
        </w:rPr>
        <w:t xml:space="preserve">sisht </w:t>
      </w:r>
      <w:r w:rsidR="00B6519A" w:rsidRPr="00B6519A">
        <w:rPr>
          <w:rFonts w:ascii="Calibri" w:eastAsiaTheme="minorEastAsia" w:hAnsi="Calibri" w:cs="Calibri"/>
          <w:sz w:val="22"/>
          <w:szCs w:val="22"/>
          <w:lang w:val="sq-AL"/>
        </w:rPr>
        <w:t>në Marrëveshjet Ndërkombëtare të Investimeve (MNI) të p</w:t>
      </w:r>
      <w:r>
        <w:rPr>
          <w:rFonts w:ascii="Calibri" w:eastAsiaTheme="minorEastAsia" w:hAnsi="Calibri" w:cs="Calibri"/>
          <w:sz w:val="22"/>
          <w:szCs w:val="22"/>
          <w:lang w:val="sq-AL"/>
        </w:rPr>
        <w:t xml:space="preserve">arashikuara </w:t>
      </w:r>
      <w:r w:rsidR="00B6519A" w:rsidRPr="00B6519A">
        <w:rPr>
          <w:rFonts w:ascii="Calibri" w:eastAsiaTheme="minorEastAsia" w:hAnsi="Calibri" w:cs="Calibri"/>
          <w:sz w:val="22"/>
          <w:szCs w:val="22"/>
          <w:lang w:val="sq-AL"/>
        </w:rPr>
        <w:t>në legjislacionin vendor të investimeve. Është e ngjashme me analizën që kryhet në krijimin e të ashtuquajtur</w:t>
      </w:r>
      <w:r w:rsidR="006822F7">
        <w:rPr>
          <w:rFonts w:ascii="Calibri" w:eastAsiaTheme="minorEastAsia" w:hAnsi="Calibri" w:cs="Calibri"/>
          <w:sz w:val="22"/>
          <w:szCs w:val="22"/>
          <w:lang w:val="sq-AL"/>
        </w:rPr>
        <w:t>ë</w:t>
      </w:r>
      <w:r>
        <w:rPr>
          <w:rFonts w:ascii="Calibri" w:eastAsiaTheme="minorEastAsia" w:hAnsi="Calibri" w:cs="Calibri"/>
          <w:sz w:val="22"/>
          <w:szCs w:val="22"/>
          <w:lang w:val="sq-AL"/>
        </w:rPr>
        <w:t>s</w:t>
      </w:r>
      <w:r w:rsidR="00B6519A" w:rsidRPr="00B6519A">
        <w:rPr>
          <w:rFonts w:ascii="Calibri" w:eastAsiaTheme="minorEastAsia" w:hAnsi="Calibri" w:cs="Calibri"/>
          <w:sz w:val="22"/>
          <w:szCs w:val="22"/>
          <w:lang w:val="sq-AL"/>
        </w:rPr>
        <w:t xml:space="preserve"> </w:t>
      </w:r>
      <w:r w:rsidR="00B81968">
        <w:rPr>
          <w:rFonts w:ascii="Calibri" w:eastAsiaTheme="minorEastAsia" w:hAnsi="Calibri" w:cs="Calibri"/>
          <w:sz w:val="22"/>
          <w:szCs w:val="22"/>
          <w:lang w:val="sq-AL"/>
        </w:rPr>
        <w:t>skemë</w:t>
      </w:r>
      <w:r w:rsidR="00B6519A" w:rsidRPr="00B6519A">
        <w:rPr>
          <w:rFonts w:ascii="Calibri" w:eastAsiaTheme="minorEastAsia" w:hAnsi="Calibri" w:cs="Calibri"/>
          <w:sz w:val="22"/>
          <w:szCs w:val="22"/>
          <w:lang w:val="sq-AL"/>
        </w:rPr>
        <w:t xml:space="preserve"> të Masave Mos-</w:t>
      </w:r>
      <w:proofErr w:type="spellStart"/>
      <w:r w:rsidR="00B6519A" w:rsidRPr="00B6519A">
        <w:rPr>
          <w:rFonts w:ascii="Calibri" w:eastAsiaTheme="minorEastAsia" w:hAnsi="Calibri" w:cs="Calibri"/>
          <w:sz w:val="22"/>
          <w:szCs w:val="22"/>
          <w:lang w:val="sq-AL"/>
        </w:rPr>
        <w:t>Përputhëse</w:t>
      </w:r>
      <w:proofErr w:type="spellEnd"/>
      <w:r w:rsidR="00B6519A" w:rsidRPr="00B6519A">
        <w:rPr>
          <w:rFonts w:ascii="Calibri" w:eastAsiaTheme="minorEastAsia" w:hAnsi="Calibri" w:cs="Calibri"/>
          <w:sz w:val="22"/>
          <w:szCs w:val="22"/>
          <w:lang w:val="sq-AL"/>
        </w:rPr>
        <w:t xml:space="preserve"> (MMP</w:t>
      </w:r>
      <w:r w:rsidR="00C422E9" w:rsidRPr="009A66BD">
        <w:rPr>
          <w:rFonts w:ascii="Calibri" w:eastAsiaTheme="minorEastAsia" w:hAnsi="Calibri" w:cs="Calibri"/>
          <w:sz w:val="22"/>
          <w:szCs w:val="22"/>
          <w:lang w:val="sq-AL"/>
        </w:rPr>
        <w:t>)</w:t>
      </w:r>
      <w:r w:rsidR="00C422E9" w:rsidRPr="009A66BD">
        <w:rPr>
          <w:rFonts w:ascii="Calibri" w:eastAsiaTheme="minorEastAsia" w:hAnsi="Calibri" w:cs="Calibri"/>
          <w:sz w:val="22"/>
          <w:szCs w:val="22"/>
          <w:vertAlign w:val="superscript"/>
          <w:lang w:val="sq-AL"/>
        </w:rPr>
        <w:footnoteReference w:id="13"/>
      </w:r>
      <w:r w:rsidR="00C422E9" w:rsidRPr="009A66BD">
        <w:rPr>
          <w:rFonts w:ascii="Calibri" w:eastAsiaTheme="minorEastAsia" w:hAnsi="Calibri" w:cs="Calibri"/>
          <w:sz w:val="22"/>
          <w:szCs w:val="22"/>
          <w:lang w:val="sq-AL"/>
        </w:rPr>
        <w:t xml:space="preserve">, </w:t>
      </w:r>
      <w:r w:rsidR="00B81968" w:rsidRPr="00B81968">
        <w:rPr>
          <w:rFonts w:ascii="Calibri" w:eastAsiaTheme="minorEastAsia" w:hAnsi="Calibri" w:cs="Calibri"/>
          <w:sz w:val="22"/>
          <w:szCs w:val="22"/>
          <w:lang w:val="sq-AL"/>
        </w:rPr>
        <w:t>dhe për këtë arsye lista që rezulton nga analiza mund të përdoret për krijimin e një skeme të atillë duke e përshtatur atë me angazhimet</w:t>
      </w:r>
      <w:r>
        <w:rPr>
          <w:rFonts w:ascii="Calibri" w:eastAsiaTheme="minorEastAsia" w:hAnsi="Calibri" w:cs="Calibri"/>
          <w:sz w:val="22"/>
          <w:szCs w:val="22"/>
          <w:lang w:val="sq-AL"/>
        </w:rPr>
        <w:t>/zotimet</w:t>
      </w:r>
      <w:r w:rsidR="00B81968" w:rsidRPr="00B81968">
        <w:rPr>
          <w:rFonts w:ascii="Calibri" w:eastAsiaTheme="minorEastAsia" w:hAnsi="Calibri" w:cs="Calibri"/>
          <w:sz w:val="22"/>
          <w:szCs w:val="22"/>
          <w:lang w:val="sq-AL"/>
        </w:rPr>
        <w:t xml:space="preserve"> specifike </w:t>
      </w:r>
      <w:r>
        <w:rPr>
          <w:rFonts w:ascii="Calibri" w:eastAsiaTheme="minorEastAsia" w:hAnsi="Calibri" w:cs="Calibri"/>
          <w:sz w:val="22"/>
          <w:szCs w:val="22"/>
          <w:lang w:val="sq-AL"/>
        </w:rPr>
        <w:t>q</w:t>
      </w:r>
      <w:r w:rsidR="006822F7">
        <w:rPr>
          <w:rFonts w:ascii="Calibri" w:eastAsiaTheme="minorEastAsia" w:hAnsi="Calibri" w:cs="Calibri"/>
          <w:sz w:val="22"/>
          <w:szCs w:val="22"/>
          <w:lang w:val="sq-AL"/>
        </w:rPr>
        <w:t>ë</w:t>
      </w:r>
      <w:r w:rsidR="00B81968" w:rsidRPr="00B81968">
        <w:rPr>
          <w:rFonts w:ascii="Calibri" w:eastAsiaTheme="minorEastAsia" w:hAnsi="Calibri" w:cs="Calibri"/>
          <w:sz w:val="22"/>
          <w:szCs w:val="22"/>
          <w:lang w:val="sq-AL"/>
        </w:rPr>
        <w:t xml:space="preserve"> një ekonomi ndërm</w:t>
      </w:r>
      <w:r>
        <w:rPr>
          <w:rFonts w:ascii="Calibri" w:eastAsiaTheme="minorEastAsia" w:hAnsi="Calibri" w:cs="Calibri"/>
          <w:sz w:val="22"/>
          <w:szCs w:val="22"/>
          <w:lang w:val="sq-AL"/>
        </w:rPr>
        <w:t>e</w:t>
      </w:r>
      <w:r w:rsidR="00B81968" w:rsidRPr="00B81968">
        <w:rPr>
          <w:rFonts w:ascii="Calibri" w:eastAsiaTheme="minorEastAsia" w:hAnsi="Calibri" w:cs="Calibri"/>
          <w:sz w:val="22"/>
          <w:szCs w:val="22"/>
          <w:lang w:val="sq-AL"/>
        </w:rPr>
        <w:t>rr në atë MNI</w:t>
      </w:r>
      <w:r w:rsidR="00C422E9" w:rsidRPr="009A66BD">
        <w:rPr>
          <w:rFonts w:ascii="Calibri" w:eastAsiaTheme="minorEastAsia" w:hAnsi="Calibri" w:cs="Calibri"/>
          <w:sz w:val="22"/>
          <w:szCs w:val="22"/>
          <w:lang w:val="sq-AL"/>
        </w:rPr>
        <w:t>.</w:t>
      </w:r>
    </w:p>
    <w:p w14:paraId="6EE7E727" w14:textId="4B3B16D8" w:rsidR="00C422E9" w:rsidRPr="009A66BD" w:rsidRDefault="00DE477D" w:rsidP="00C422E9">
      <w:pPr>
        <w:spacing w:after="120" w:line="254" w:lineRule="auto"/>
        <w:ind w:firstLine="0"/>
        <w:rPr>
          <w:rFonts w:asciiTheme="minorHAnsi" w:eastAsiaTheme="minorEastAsia" w:hAnsiTheme="minorHAnsi" w:cstheme="minorHAnsi"/>
          <w:sz w:val="22"/>
          <w:szCs w:val="22"/>
          <w:lang w:val="sq-AL"/>
        </w:rPr>
      </w:pPr>
      <w:r w:rsidRPr="00DE477D">
        <w:rPr>
          <w:rFonts w:asciiTheme="minorHAnsi" w:eastAsiaTheme="minorEastAsia" w:hAnsiTheme="minorHAnsi" w:cstheme="minorHAnsi"/>
          <w:sz w:val="22"/>
          <w:szCs w:val="22"/>
          <w:lang w:val="sq-AL"/>
        </w:rPr>
        <w:t>Për më tepër, në aspekt të pranimit të ardhshëm në BE, analiza do të vlerësojë konfliktin e mundshëm të masave specifike me të drejtën e BE-së në lidhje me të drejtën e themelimit siç thuhet në Traktatin e BE-së</w:t>
      </w:r>
      <w:r w:rsidR="00C422E9" w:rsidRPr="009A66BD">
        <w:rPr>
          <w:rFonts w:asciiTheme="minorHAnsi" w:eastAsiaTheme="minorEastAsia" w:hAnsiTheme="minorHAnsi" w:cstheme="minorHAnsi"/>
          <w:sz w:val="22"/>
          <w:szCs w:val="22"/>
          <w:vertAlign w:val="superscript"/>
          <w:lang w:val="sq-AL"/>
        </w:rPr>
        <w:footnoteReference w:id="14"/>
      </w:r>
      <w:r w:rsidR="00C422E9" w:rsidRPr="009A66BD">
        <w:rPr>
          <w:rFonts w:asciiTheme="minorHAnsi" w:eastAsiaTheme="minorEastAsia" w:hAnsiTheme="minorHAnsi" w:cstheme="minorHAnsi"/>
          <w:sz w:val="22"/>
          <w:szCs w:val="22"/>
          <w:lang w:val="sq-AL"/>
        </w:rPr>
        <w:t xml:space="preserve"> </w:t>
      </w:r>
      <w:r w:rsidR="00500C5D">
        <w:rPr>
          <w:rFonts w:asciiTheme="minorHAnsi" w:eastAsiaTheme="minorEastAsia" w:hAnsiTheme="minorHAnsi" w:cstheme="minorHAnsi"/>
          <w:sz w:val="22"/>
          <w:szCs w:val="22"/>
          <w:lang w:val="sq-AL"/>
        </w:rPr>
        <w:t xml:space="preserve"> d</w:t>
      </w:r>
      <w:r w:rsidRPr="00DE477D">
        <w:rPr>
          <w:rFonts w:asciiTheme="minorHAnsi" w:eastAsiaTheme="minorEastAsia" w:hAnsiTheme="minorHAnsi" w:cstheme="minorHAnsi"/>
          <w:sz w:val="22"/>
          <w:szCs w:val="22"/>
          <w:lang w:val="sq-AL"/>
        </w:rPr>
        <w:t>he të specifiku</w:t>
      </w:r>
      <w:r>
        <w:rPr>
          <w:rFonts w:asciiTheme="minorHAnsi" w:eastAsiaTheme="minorEastAsia" w:hAnsiTheme="minorHAnsi" w:cstheme="minorHAnsi"/>
          <w:sz w:val="22"/>
          <w:szCs w:val="22"/>
          <w:lang w:val="sq-AL"/>
        </w:rPr>
        <w:t>ar në 'Direktivën e Shërbimeve'</w:t>
      </w:r>
      <w:r w:rsidR="00C422E9" w:rsidRPr="009A66BD">
        <w:rPr>
          <w:rFonts w:asciiTheme="minorHAnsi" w:eastAsiaTheme="minorEastAsia" w:hAnsiTheme="minorHAnsi" w:cstheme="minorHAnsi"/>
          <w:sz w:val="22"/>
          <w:szCs w:val="22"/>
          <w:vertAlign w:val="superscript"/>
          <w:lang w:val="sq-AL"/>
        </w:rPr>
        <w:footnoteReference w:id="15"/>
      </w:r>
      <w:r w:rsidR="00C422E9" w:rsidRPr="009A66BD">
        <w:rPr>
          <w:rFonts w:asciiTheme="minorHAnsi" w:eastAsiaTheme="minorEastAsia" w:hAnsiTheme="minorHAnsi" w:cstheme="minorHAnsi"/>
          <w:sz w:val="22"/>
          <w:szCs w:val="22"/>
          <w:lang w:val="sq-AL"/>
        </w:rPr>
        <w:t xml:space="preserve">.  </w:t>
      </w:r>
      <w:r w:rsidRPr="00DE477D">
        <w:rPr>
          <w:rFonts w:asciiTheme="minorHAnsi" w:eastAsiaTheme="minorEastAsia" w:hAnsiTheme="minorHAnsi" w:cstheme="minorHAnsi"/>
          <w:sz w:val="22"/>
          <w:szCs w:val="22"/>
          <w:lang w:val="sq-AL"/>
        </w:rPr>
        <w:t xml:space="preserve">Qëllimi i këtij vlerësimi është të lehtësojë </w:t>
      </w:r>
      <w:r w:rsidR="00500C5D">
        <w:rPr>
          <w:rFonts w:asciiTheme="minorHAnsi" w:eastAsiaTheme="minorEastAsia" w:hAnsiTheme="minorHAnsi" w:cstheme="minorHAnsi"/>
          <w:sz w:val="22"/>
          <w:szCs w:val="22"/>
          <w:lang w:val="sq-AL"/>
        </w:rPr>
        <w:t>p</w:t>
      </w:r>
      <w:r w:rsidR="006822F7">
        <w:rPr>
          <w:rFonts w:asciiTheme="minorHAnsi" w:eastAsiaTheme="minorEastAsia" w:hAnsiTheme="minorHAnsi" w:cstheme="minorHAnsi"/>
          <w:sz w:val="22"/>
          <w:szCs w:val="22"/>
          <w:lang w:val="sq-AL"/>
        </w:rPr>
        <w:t>ë</w:t>
      </w:r>
      <w:r w:rsidR="00500C5D">
        <w:rPr>
          <w:rFonts w:asciiTheme="minorHAnsi" w:eastAsiaTheme="minorEastAsia" w:hAnsiTheme="minorHAnsi" w:cstheme="minorHAnsi"/>
          <w:sz w:val="22"/>
          <w:szCs w:val="22"/>
          <w:lang w:val="sq-AL"/>
        </w:rPr>
        <w:t>rafrimin/</w:t>
      </w:r>
      <w:r w:rsidRPr="00DE477D">
        <w:rPr>
          <w:rFonts w:asciiTheme="minorHAnsi" w:eastAsiaTheme="minorEastAsia" w:hAnsiTheme="minorHAnsi" w:cstheme="minorHAnsi"/>
          <w:sz w:val="22"/>
          <w:szCs w:val="22"/>
          <w:lang w:val="sq-AL"/>
        </w:rPr>
        <w:t>h</w:t>
      </w:r>
      <w:r>
        <w:rPr>
          <w:rFonts w:asciiTheme="minorHAnsi" w:eastAsiaTheme="minorEastAsia" w:hAnsiTheme="minorHAnsi" w:cstheme="minorHAnsi"/>
          <w:sz w:val="22"/>
          <w:szCs w:val="22"/>
          <w:lang w:val="sq-AL"/>
        </w:rPr>
        <w:t xml:space="preserve">armonizimin me Kapitullin 3 të </w:t>
      </w:r>
      <w:proofErr w:type="spellStart"/>
      <w:r>
        <w:rPr>
          <w:rFonts w:asciiTheme="minorHAnsi" w:eastAsiaTheme="minorEastAsia" w:hAnsiTheme="minorHAnsi" w:cstheme="minorHAnsi"/>
          <w:sz w:val="22"/>
          <w:szCs w:val="22"/>
          <w:lang w:val="sq-AL"/>
        </w:rPr>
        <w:t>A</w:t>
      </w:r>
      <w:r w:rsidRPr="00DE477D">
        <w:rPr>
          <w:rFonts w:asciiTheme="minorHAnsi" w:eastAsiaTheme="minorEastAsia" w:hAnsiTheme="minorHAnsi" w:cstheme="minorHAnsi"/>
          <w:sz w:val="22"/>
          <w:szCs w:val="22"/>
          <w:lang w:val="sq-AL"/>
        </w:rPr>
        <w:t>cquis</w:t>
      </w:r>
      <w:proofErr w:type="spellEnd"/>
      <w:r w:rsidRPr="00DE477D">
        <w:rPr>
          <w:rFonts w:asciiTheme="minorHAnsi" w:eastAsiaTheme="minorEastAsia" w:hAnsiTheme="minorHAnsi" w:cstheme="minorHAnsi"/>
          <w:sz w:val="22"/>
          <w:szCs w:val="22"/>
          <w:lang w:val="sq-AL"/>
        </w:rPr>
        <w:t xml:space="preserve"> </w:t>
      </w:r>
      <w:proofErr w:type="spellStart"/>
      <w:r w:rsidRPr="00DE477D">
        <w:rPr>
          <w:rFonts w:asciiTheme="minorHAnsi" w:eastAsiaTheme="minorEastAsia" w:hAnsiTheme="minorHAnsi" w:cstheme="minorHAnsi"/>
          <w:sz w:val="22"/>
          <w:szCs w:val="22"/>
          <w:lang w:val="sq-AL"/>
        </w:rPr>
        <w:t>communautaire</w:t>
      </w:r>
      <w:proofErr w:type="spellEnd"/>
      <w:r w:rsidRPr="00DE477D">
        <w:rPr>
          <w:rFonts w:asciiTheme="minorHAnsi" w:eastAsiaTheme="minorEastAsia" w:hAnsiTheme="minorHAnsi" w:cstheme="minorHAnsi"/>
          <w:sz w:val="22"/>
          <w:szCs w:val="22"/>
          <w:lang w:val="sq-AL"/>
        </w:rPr>
        <w:t xml:space="preserve"> </w:t>
      </w:r>
      <w:r w:rsidR="00C422E9" w:rsidRPr="009A66BD">
        <w:rPr>
          <w:rFonts w:asciiTheme="minorHAnsi" w:eastAsiaTheme="minorEastAsia" w:hAnsiTheme="minorHAnsi" w:cstheme="minorHAnsi"/>
          <w:sz w:val="22"/>
          <w:szCs w:val="22"/>
          <w:vertAlign w:val="superscript"/>
          <w:lang w:val="sq-AL"/>
        </w:rPr>
        <w:footnoteReference w:id="16"/>
      </w:r>
      <w:r w:rsidR="00C422E9" w:rsidRPr="009A66BD">
        <w:rPr>
          <w:rFonts w:asciiTheme="minorHAnsi" w:eastAsiaTheme="minorEastAsia" w:hAnsiTheme="minorHAnsi" w:cstheme="minorHAnsi"/>
          <w:sz w:val="22"/>
          <w:szCs w:val="22"/>
          <w:lang w:val="sq-AL"/>
        </w:rPr>
        <w:t xml:space="preserve"> </w:t>
      </w:r>
      <w:r w:rsidRPr="00DE477D">
        <w:rPr>
          <w:rFonts w:asciiTheme="minorHAnsi" w:eastAsiaTheme="minorEastAsia" w:hAnsiTheme="minorHAnsi" w:cstheme="minorHAnsi"/>
          <w:sz w:val="22"/>
          <w:szCs w:val="22"/>
          <w:lang w:val="sq-AL"/>
        </w:rPr>
        <w:t>si pjesë e procesit të pranimit në BE</w:t>
      </w:r>
      <w:r w:rsidR="00C422E9" w:rsidRPr="009A66BD">
        <w:rPr>
          <w:rFonts w:asciiTheme="minorHAnsi" w:eastAsiaTheme="minorEastAsia" w:hAnsiTheme="minorHAnsi" w:cstheme="minorHAnsi"/>
          <w:sz w:val="22"/>
          <w:szCs w:val="22"/>
          <w:lang w:val="sq-AL"/>
        </w:rPr>
        <w:t xml:space="preserve">. </w:t>
      </w:r>
    </w:p>
    <w:p w14:paraId="519BBA87" w14:textId="77777777" w:rsidR="00C422E9" w:rsidRPr="009A66BD" w:rsidRDefault="00C422E9" w:rsidP="00C422E9">
      <w:pPr>
        <w:spacing w:after="120" w:line="254" w:lineRule="auto"/>
        <w:ind w:firstLine="0"/>
        <w:rPr>
          <w:rFonts w:asciiTheme="minorHAnsi" w:eastAsia="Batang" w:hAnsiTheme="minorHAnsi" w:cstheme="minorBidi"/>
          <w:sz w:val="22"/>
          <w:szCs w:val="22"/>
          <w:lang w:val="sq-AL"/>
        </w:rPr>
      </w:pPr>
    </w:p>
    <w:p w14:paraId="68ACC3B9" w14:textId="77777777" w:rsidR="00DE477D" w:rsidRDefault="00DE477D" w:rsidP="00C422E9">
      <w:pPr>
        <w:spacing w:after="120" w:line="254" w:lineRule="auto"/>
        <w:ind w:firstLine="0"/>
        <w:contextualSpacing/>
        <w:rPr>
          <w:rFonts w:asciiTheme="minorHAnsi" w:eastAsiaTheme="minorEastAsia" w:hAnsiTheme="minorHAnsi" w:cstheme="minorHAnsi"/>
          <w:b/>
          <w:sz w:val="22"/>
          <w:lang w:val="sq-AL"/>
        </w:rPr>
      </w:pPr>
      <w:r w:rsidRPr="00DE477D">
        <w:rPr>
          <w:rFonts w:asciiTheme="minorHAnsi" w:eastAsiaTheme="minorEastAsia" w:hAnsiTheme="minorHAnsi" w:cstheme="minorHAnsi"/>
          <w:b/>
          <w:sz w:val="22"/>
          <w:lang w:val="sq-AL"/>
        </w:rPr>
        <w:t>Fushëveprimi i mbulimit të analizës</w:t>
      </w:r>
    </w:p>
    <w:p w14:paraId="32CD263D" w14:textId="0833E94D" w:rsidR="00C422E9" w:rsidRPr="009A66BD" w:rsidRDefault="00381933" w:rsidP="00C422E9">
      <w:pPr>
        <w:spacing w:after="120" w:line="254" w:lineRule="auto"/>
        <w:ind w:firstLine="0"/>
        <w:contextualSpacing/>
        <w:rPr>
          <w:rFonts w:asciiTheme="minorHAnsi" w:eastAsia="Batang" w:hAnsiTheme="minorHAnsi" w:cstheme="minorHAnsi"/>
          <w:sz w:val="22"/>
          <w:szCs w:val="22"/>
          <w:lang w:val="sq-AL"/>
        </w:rPr>
      </w:pPr>
      <w:r w:rsidRPr="00381933">
        <w:rPr>
          <w:rFonts w:asciiTheme="minorHAnsi" w:eastAsia="Batang" w:hAnsiTheme="minorHAnsi" w:cstheme="minorHAnsi"/>
          <w:sz w:val="22"/>
          <w:szCs w:val="22"/>
          <w:lang w:val="sq-AL"/>
        </w:rPr>
        <w:t xml:space="preserve">Varësisht nga burimet dhe kapacitetet e </w:t>
      </w:r>
      <w:proofErr w:type="spellStart"/>
      <w:r w:rsidRPr="00381933">
        <w:rPr>
          <w:rFonts w:asciiTheme="minorHAnsi" w:eastAsia="Batang" w:hAnsiTheme="minorHAnsi" w:cstheme="minorHAnsi"/>
          <w:sz w:val="22"/>
          <w:szCs w:val="22"/>
          <w:lang w:val="sq-AL"/>
        </w:rPr>
        <w:t>disponueshme</w:t>
      </w:r>
      <w:proofErr w:type="spellEnd"/>
      <w:r w:rsidRPr="00381933">
        <w:rPr>
          <w:rFonts w:asciiTheme="minorHAnsi" w:eastAsia="Batang" w:hAnsiTheme="minorHAnsi" w:cstheme="minorHAnsi"/>
          <w:sz w:val="22"/>
          <w:szCs w:val="22"/>
          <w:lang w:val="sq-AL"/>
        </w:rPr>
        <w:t xml:space="preserve"> në një ekonomi specifike, opsione</w:t>
      </w:r>
      <w:r w:rsidR="00500C5D">
        <w:rPr>
          <w:rFonts w:asciiTheme="minorHAnsi" w:eastAsia="Batang" w:hAnsiTheme="minorHAnsi" w:cstheme="minorHAnsi"/>
          <w:sz w:val="22"/>
          <w:szCs w:val="22"/>
          <w:lang w:val="sq-AL"/>
        </w:rPr>
        <w:t xml:space="preserve"> t</w:t>
      </w:r>
      <w:r w:rsidR="006822F7">
        <w:rPr>
          <w:rFonts w:asciiTheme="minorHAnsi" w:eastAsia="Batang" w:hAnsiTheme="minorHAnsi" w:cstheme="minorHAnsi"/>
          <w:sz w:val="22"/>
          <w:szCs w:val="22"/>
          <w:lang w:val="sq-AL"/>
        </w:rPr>
        <w:t>ë</w:t>
      </w:r>
      <w:r w:rsidR="00500C5D">
        <w:rPr>
          <w:rFonts w:asciiTheme="minorHAnsi" w:eastAsia="Batang" w:hAnsiTheme="minorHAnsi" w:cstheme="minorHAnsi"/>
          <w:sz w:val="22"/>
          <w:szCs w:val="22"/>
          <w:lang w:val="sq-AL"/>
        </w:rPr>
        <w:t xml:space="preserve"> </w:t>
      </w:r>
      <w:r w:rsidRPr="00381933">
        <w:rPr>
          <w:rFonts w:asciiTheme="minorHAnsi" w:eastAsia="Batang" w:hAnsiTheme="minorHAnsi" w:cstheme="minorHAnsi"/>
          <w:sz w:val="22"/>
          <w:szCs w:val="22"/>
          <w:lang w:val="sq-AL"/>
        </w:rPr>
        <w:t xml:space="preserve">ndryshme se si të kryhet analiza janë të </w:t>
      </w:r>
      <w:r w:rsidR="008C0430">
        <w:rPr>
          <w:rFonts w:asciiTheme="minorHAnsi" w:eastAsia="Batang" w:hAnsiTheme="minorHAnsi" w:cstheme="minorHAnsi"/>
          <w:sz w:val="22"/>
          <w:szCs w:val="22"/>
          <w:lang w:val="sq-AL"/>
        </w:rPr>
        <w:t>mundshme</w:t>
      </w:r>
      <w:r w:rsidRPr="00381933">
        <w:rPr>
          <w:rFonts w:asciiTheme="minorHAnsi" w:eastAsia="Batang" w:hAnsiTheme="minorHAnsi" w:cstheme="minorHAnsi"/>
          <w:sz w:val="22"/>
          <w:szCs w:val="22"/>
          <w:lang w:val="sq-AL"/>
        </w:rPr>
        <w:t>. Këto opsione ndryshojnë në</w:t>
      </w:r>
      <w:r w:rsidR="008C0430">
        <w:rPr>
          <w:rFonts w:asciiTheme="minorHAnsi" w:eastAsia="Batang" w:hAnsiTheme="minorHAnsi" w:cstheme="minorHAnsi"/>
          <w:sz w:val="22"/>
          <w:szCs w:val="22"/>
          <w:lang w:val="sq-AL"/>
        </w:rPr>
        <w:t xml:space="preserve"> at</w:t>
      </w:r>
      <w:r w:rsidR="006822F7">
        <w:rPr>
          <w:rFonts w:asciiTheme="minorHAnsi" w:eastAsia="Batang" w:hAnsiTheme="minorHAnsi" w:cstheme="minorHAnsi"/>
          <w:sz w:val="22"/>
          <w:szCs w:val="22"/>
          <w:lang w:val="sq-AL"/>
        </w:rPr>
        <w:t>ë</w:t>
      </w:r>
      <w:r w:rsidR="008C0430">
        <w:rPr>
          <w:rFonts w:asciiTheme="minorHAnsi" w:eastAsia="Batang" w:hAnsiTheme="minorHAnsi" w:cstheme="minorHAnsi"/>
          <w:sz w:val="22"/>
          <w:szCs w:val="22"/>
          <w:lang w:val="sq-AL"/>
        </w:rPr>
        <w:t xml:space="preserve"> n</w:t>
      </w:r>
      <w:r w:rsidR="006822F7">
        <w:rPr>
          <w:rFonts w:asciiTheme="minorHAnsi" w:eastAsia="Batang" w:hAnsiTheme="minorHAnsi" w:cstheme="minorHAnsi"/>
          <w:sz w:val="22"/>
          <w:szCs w:val="22"/>
          <w:lang w:val="sq-AL"/>
        </w:rPr>
        <w:t>ë</w:t>
      </w:r>
      <w:r w:rsidR="008C0430">
        <w:rPr>
          <w:rFonts w:asciiTheme="minorHAnsi" w:eastAsia="Batang" w:hAnsiTheme="minorHAnsi" w:cstheme="minorHAnsi"/>
          <w:sz w:val="22"/>
          <w:szCs w:val="22"/>
          <w:lang w:val="sq-AL"/>
        </w:rPr>
        <w:t xml:space="preserve">se </w:t>
      </w:r>
      <w:r w:rsidRPr="00381933">
        <w:rPr>
          <w:rFonts w:asciiTheme="minorHAnsi" w:eastAsia="Batang" w:hAnsiTheme="minorHAnsi" w:cstheme="minorHAnsi"/>
          <w:sz w:val="22"/>
          <w:szCs w:val="22"/>
          <w:lang w:val="sq-AL"/>
        </w:rPr>
        <w:t>analiza përfshin instrumente juridike nën-kombëtare (</w:t>
      </w:r>
      <w:r w:rsidR="00325DF0">
        <w:rPr>
          <w:rFonts w:asciiTheme="minorHAnsi" w:eastAsia="Batang" w:hAnsiTheme="minorHAnsi" w:cstheme="minorHAnsi"/>
          <w:sz w:val="22"/>
          <w:szCs w:val="22"/>
          <w:lang w:val="sq-AL"/>
        </w:rPr>
        <w:t>thellësia</w:t>
      </w:r>
      <w:r w:rsidRPr="00381933">
        <w:rPr>
          <w:rFonts w:asciiTheme="minorHAnsi" w:eastAsia="Batang" w:hAnsiTheme="minorHAnsi" w:cstheme="minorHAnsi"/>
          <w:sz w:val="22"/>
          <w:szCs w:val="22"/>
          <w:lang w:val="sq-AL"/>
        </w:rPr>
        <w:t>) dhe nëse përfshin një rishikim të ligjeve dhe legjislacioneve horizontale ose fokusohet në sektorë të veçantë (gjerësia</w:t>
      </w:r>
      <w:r w:rsidR="00C422E9" w:rsidRPr="009A66BD">
        <w:rPr>
          <w:rFonts w:asciiTheme="minorHAnsi" w:eastAsia="Batang" w:hAnsiTheme="minorHAnsi" w:cstheme="minorHAnsi"/>
          <w:sz w:val="22"/>
          <w:szCs w:val="22"/>
          <w:lang w:val="sq-AL"/>
        </w:rPr>
        <w:t>):</w:t>
      </w:r>
    </w:p>
    <w:p w14:paraId="0340B66D" w14:textId="77777777" w:rsidR="00C422E9" w:rsidRPr="009A66BD" w:rsidRDefault="00C422E9" w:rsidP="00C422E9">
      <w:pPr>
        <w:spacing w:after="120" w:line="254" w:lineRule="auto"/>
        <w:ind w:firstLine="0"/>
        <w:contextualSpacing/>
        <w:rPr>
          <w:rFonts w:asciiTheme="minorHAnsi" w:eastAsia="Batang" w:hAnsiTheme="minorHAnsi" w:cstheme="minorHAnsi"/>
          <w:sz w:val="22"/>
          <w:szCs w:val="22"/>
          <w:lang w:val="sq-AL"/>
        </w:rPr>
      </w:pPr>
    </w:p>
    <w:p w14:paraId="64A312EA" w14:textId="77777777" w:rsidR="00C422E9" w:rsidRPr="009A66BD" w:rsidRDefault="00C422E9" w:rsidP="00C422E9">
      <w:pPr>
        <w:spacing w:after="120" w:line="254" w:lineRule="auto"/>
        <w:ind w:firstLine="0"/>
        <w:contextualSpacing/>
        <w:jc w:val="center"/>
        <w:rPr>
          <w:rFonts w:asciiTheme="minorHAnsi" w:eastAsia="Batang" w:hAnsiTheme="minorHAnsi" w:cstheme="minorHAnsi"/>
          <w:sz w:val="22"/>
          <w:szCs w:val="22"/>
          <w:lang w:val="sq-AL"/>
        </w:rPr>
      </w:pPr>
      <w:r w:rsidRPr="009A66BD">
        <w:rPr>
          <w:rFonts w:asciiTheme="minorHAnsi" w:eastAsia="Batang" w:hAnsiTheme="minorHAnsi" w:cstheme="minorHAnsi"/>
          <w:noProof/>
          <w:sz w:val="22"/>
          <w:szCs w:val="22"/>
          <w:lang w:val="en-US"/>
        </w:rPr>
        <w:drawing>
          <wp:inline distT="0" distB="0" distL="0" distR="0" wp14:anchorId="79F5A8A3" wp14:editId="09C0A363">
            <wp:extent cx="3200666" cy="19493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6593" cy="1977348"/>
                    </a:xfrm>
                    <a:prstGeom prst="rect">
                      <a:avLst/>
                    </a:prstGeom>
                    <a:noFill/>
                  </pic:spPr>
                </pic:pic>
              </a:graphicData>
            </a:graphic>
          </wp:inline>
        </w:drawing>
      </w:r>
    </w:p>
    <w:p w14:paraId="5F19985D" w14:textId="77777777" w:rsidR="00C422E9" w:rsidRPr="009A66BD" w:rsidRDefault="00C422E9" w:rsidP="00C422E9">
      <w:pPr>
        <w:spacing w:after="120" w:line="254" w:lineRule="auto"/>
        <w:ind w:firstLine="0"/>
        <w:contextualSpacing/>
        <w:rPr>
          <w:rFonts w:asciiTheme="majorHAnsi" w:eastAsia="Batang" w:hAnsiTheme="majorHAnsi" w:cstheme="majorHAnsi"/>
          <w:sz w:val="22"/>
          <w:szCs w:val="22"/>
          <w:lang w:val="sq-AL"/>
        </w:rPr>
      </w:pPr>
    </w:p>
    <w:p w14:paraId="73F71434" w14:textId="62373923" w:rsidR="00C422E9" w:rsidRPr="009A66BD" w:rsidRDefault="00325DF0" w:rsidP="00C422E9">
      <w:pPr>
        <w:spacing w:after="120" w:line="254" w:lineRule="auto"/>
        <w:ind w:firstLine="0"/>
        <w:rPr>
          <w:rFonts w:asciiTheme="minorHAnsi" w:eastAsia="Batang" w:hAnsiTheme="minorHAnsi" w:cstheme="minorHAnsi"/>
          <w:sz w:val="22"/>
          <w:szCs w:val="22"/>
          <w:lang w:val="sq-AL"/>
        </w:rPr>
      </w:pPr>
      <w:r w:rsidRPr="00325DF0">
        <w:rPr>
          <w:rFonts w:asciiTheme="minorHAnsi" w:eastAsia="Batang" w:hAnsiTheme="minorHAnsi" w:cstheme="minorHAnsi"/>
          <w:sz w:val="22"/>
          <w:szCs w:val="22"/>
          <w:lang w:val="sq-AL"/>
        </w:rPr>
        <w:t xml:space="preserve">Vetëm një analizë horizontale, si dhe një analizë sektoriale e të gjitha niveleve federale dhe nën-kombëtare të qeverisë, do të sigurojë marrjen një </w:t>
      </w:r>
      <w:r w:rsidR="000D2B5A">
        <w:rPr>
          <w:rFonts w:asciiTheme="minorHAnsi" w:eastAsia="Batang" w:hAnsiTheme="minorHAnsi" w:cstheme="minorHAnsi"/>
          <w:sz w:val="22"/>
          <w:szCs w:val="22"/>
          <w:lang w:val="sq-AL"/>
        </w:rPr>
        <w:t>fotografie t</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 xml:space="preserve"> plot</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w:t>
      </w:r>
      <w:r w:rsidRPr="00325DF0">
        <w:rPr>
          <w:rFonts w:asciiTheme="minorHAnsi" w:eastAsia="Batang" w:hAnsiTheme="minorHAnsi" w:cstheme="minorHAnsi"/>
          <w:sz w:val="22"/>
          <w:szCs w:val="22"/>
          <w:lang w:val="sq-AL"/>
        </w:rPr>
        <w:t xml:space="preserve"> Një analizë e kufizuar </w:t>
      </w:r>
      <w:r w:rsidR="000D2B5A">
        <w:rPr>
          <w:rFonts w:asciiTheme="minorHAnsi" w:eastAsia="Batang" w:hAnsiTheme="minorHAnsi" w:cstheme="minorHAnsi"/>
          <w:sz w:val="22"/>
          <w:szCs w:val="22"/>
          <w:lang w:val="sq-AL"/>
        </w:rPr>
        <w:t>specifike p</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 xml:space="preserve">r sektorin </w:t>
      </w:r>
      <w:r w:rsidRPr="00325DF0">
        <w:rPr>
          <w:rFonts w:asciiTheme="minorHAnsi" w:eastAsia="Batang" w:hAnsiTheme="minorHAnsi" w:cstheme="minorHAnsi"/>
          <w:sz w:val="22"/>
          <w:szCs w:val="22"/>
          <w:lang w:val="sq-AL"/>
        </w:rPr>
        <w:t xml:space="preserve">mund të jetë e dobishme nëse, për shembull, një sektor specifik, si pjesë e një analize paraprake, është identifikuar të jetë veçanërisht </w:t>
      </w:r>
      <w:r w:rsidR="000D2B5A">
        <w:rPr>
          <w:rFonts w:asciiTheme="minorHAnsi" w:eastAsia="Batang" w:hAnsiTheme="minorHAnsi" w:cstheme="minorHAnsi"/>
          <w:sz w:val="22"/>
          <w:szCs w:val="22"/>
          <w:lang w:val="sq-AL"/>
        </w:rPr>
        <w:t>i</w:t>
      </w:r>
      <w:r w:rsidRPr="00325DF0">
        <w:rPr>
          <w:rFonts w:asciiTheme="minorHAnsi" w:eastAsia="Batang" w:hAnsiTheme="minorHAnsi" w:cstheme="minorHAnsi"/>
          <w:sz w:val="22"/>
          <w:szCs w:val="22"/>
          <w:lang w:val="sq-AL"/>
        </w:rPr>
        <w:t xml:space="preserve"> mbyllur ose jo transparent, ose nëse  sektorë </w:t>
      </w:r>
      <w:r w:rsidR="000D2B5A">
        <w:rPr>
          <w:rFonts w:asciiTheme="minorHAnsi" w:eastAsia="Batang" w:hAnsiTheme="minorHAnsi" w:cstheme="minorHAnsi"/>
          <w:sz w:val="22"/>
          <w:szCs w:val="22"/>
          <w:lang w:val="sq-AL"/>
        </w:rPr>
        <w:t>t</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 xml:space="preserve"> caktuar </w:t>
      </w:r>
      <w:r w:rsidRPr="00325DF0">
        <w:rPr>
          <w:rFonts w:asciiTheme="minorHAnsi" w:eastAsia="Batang" w:hAnsiTheme="minorHAnsi" w:cstheme="minorHAnsi"/>
          <w:sz w:val="22"/>
          <w:szCs w:val="22"/>
          <w:lang w:val="sq-AL"/>
        </w:rPr>
        <w:t xml:space="preserve">janë zgjedhur </w:t>
      </w:r>
      <w:r w:rsidR="000D2B5A">
        <w:rPr>
          <w:rFonts w:asciiTheme="minorHAnsi" w:eastAsia="Batang" w:hAnsiTheme="minorHAnsi" w:cstheme="minorHAnsi"/>
          <w:sz w:val="22"/>
          <w:szCs w:val="22"/>
          <w:lang w:val="sq-AL"/>
        </w:rPr>
        <w:t>t</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 xml:space="preserve"> jen</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 xml:space="preserve"> t</w:t>
      </w:r>
      <w:r w:rsidR="006822F7">
        <w:rPr>
          <w:rFonts w:asciiTheme="minorHAnsi" w:eastAsia="Batang" w:hAnsiTheme="minorHAnsi" w:cstheme="minorHAnsi"/>
          <w:sz w:val="22"/>
          <w:szCs w:val="22"/>
          <w:lang w:val="sq-AL"/>
        </w:rPr>
        <w:t>ë</w:t>
      </w:r>
      <w:r w:rsidR="000D2B5A">
        <w:rPr>
          <w:rFonts w:asciiTheme="minorHAnsi" w:eastAsia="Batang" w:hAnsiTheme="minorHAnsi" w:cstheme="minorHAnsi"/>
          <w:sz w:val="22"/>
          <w:szCs w:val="22"/>
          <w:lang w:val="sq-AL"/>
        </w:rPr>
        <w:t xml:space="preserve"> </w:t>
      </w:r>
      <w:r w:rsidRPr="00325DF0">
        <w:rPr>
          <w:rFonts w:asciiTheme="minorHAnsi" w:eastAsia="Batang" w:hAnsiTheme="minorHAnsi" w:cstheme="minorHAnsi"/>
          <w:sz w:val="22"/>
          <w:szCs w:val="22"/>
          <w:lang w:val="sq-AL"/>
        </w:rPr>
        <w:t>rëndësi</w:t>
      </w:r>
      <w:r w:rsidR="000D2B5A">
        <w:rPr>
          <w:rFonts w:asciiTheme="minorHAnsi" w:eastAsia="Batang" w:hAnsiTheme="minorHAnsi" w:cstheme="minorHAnsi"/>
          <w:sz w:val="22"/>
          <w:szCs w:val="22"/>
          <w:lang w:val="sq-AL"/>
        </w:rPr>
        <w:t>s</w:t>
      </w:r>
      <w:r w:rsidR="006822F7">
        <w:rPr>
          <w:rFonts w:asciiTheme="minorHAnsi" w:eastAsia="Batang" w:hAnsiTheme="minorHAnsi" w:cstheme="minorHAnsi"/>
          <w:sz w:val="22"/>
          <w:szCs w:val="22"/>
          <w:lang w:val="sq-AL"/>
        </w:rPr>
        <w:t>ë</w:t>
      </w:r>
      <w:r w:rsidRPr="00325DF0">
        <w:rPr>
          <w:rFonts w:asciiTheme="minorHAnsi" w:eastAsia="Batang" w:hAnsiTheme="minorHAnsi" w:cstheme="minorHAnsi"/>
          <w:sz w:val="22"/>
          <w:szCs w:val="22"/>
          <w:lang w:val="sq-AL"/>
        </w:rPr>
        <w:t xml:space="preserve"> strategjike</w:t>
      </w:r>
      <w:r w:rsidR="00C422E9" w:rsidRPr="009A66BD">
        <w:rPr>
          <w:rFonts w:asciiTheme="minorHAnsi" w:eastAsia="Batang" w:hAnsiTheme="minorHAnsi" w:cstheme="minorHAnsi"/>
          <w:sz w:val="22"/>
          <w:szCs w:val="22"/>
          <w:lang w:val="sq-AL"/>
        </w:rPr>
        <w:t xml:space="preserve">. </w:t>
      </w:r>
    </w:p>
    <w:p w14:paraId="68CF08B9" w14:textId="6779FFBE" w:rsidR="00C422E9" w:rsidRPr="009A66BD" w:rsidRDefault="00125543" w:rsidP="00C422E9">
      <w:pPr>
        <w:spacing w:after="120" w:line="254" w:lineRule="auto"/>
        <w:ind w:firstLine="0"/>
        <w:rPr>
          <w:rFonts w:asciiTheme="minorHAnsi" w:eastAsia="Batang" w:hAnsiTheme="minorHAnsi" w:cstheme="minorHAnsi"/>
          <w:sz w:val="22"/>
          <w:szCs w:val="22"/>
          <w:lang w:val="sq-AL"/>
        </w:rPr>
      </w:pPr>
      <w:r w:rsidRPr="00125543">
        <w:rPr>
          <w:rFonts w:asciiTheme="minorHAnsi" w:eastAsia="Batang" w:hAnsiTheme="minorHAnsi" w:cstheme="minorHAnsi"/>
          <w:sz w:val="22"/>
          <w:szCs w:val="22"/>
          <w:lang w:val="sq-AL"/>
        </w:rPr>
        <w:t>Një faktor i rëndësishëm që ndikon në atë se çfarë fushëveprim</w:t>
      </w:r>
      <w:r w:rsidR="000D2B5A">
        <w:rPr>
          <w:rFonts w:asciiTheme="minorHAnsi" w:eastAsia="Batang" w:hAnsiTheme="minorHAnsi" w:cstheme="minorHAnsi"/>
          <w:sz w:val="22"/>
          <w:szCs w:val="22"/>
          <w:lang w:val="sq-AL"/>
        </w:rPr>
        <w:t>i</w:t>
      </w:r>
      <w:r w:rsidRPr="00125543">
        <w:rPr>
          <w:rFonts w:asciiTheme="minorHAnsi" w:eastAsia="Batang" w:hAnsiTheme="minorHAnsi" w:cstheme="minorHAnsi"/>
          <w:sz w:val="22"/>
          <w:szCs w:val="22"/>
          <w:lang w:val="sq-AL"/>
        </w:rPr>
        <w:t xml:space="preserve"> i mbulimit është </w:t>
      </w:r>
      <w:proofErr w:type="spellStart"/>
      <w:r w:rsidR="000D2B5A">
        <w:rPr>
          <w:rFonts w:asciiTheme="minorHAnsi" w:eastAsia="Batang" w:hAnsiTheme="minorHAnsi" w:cstheme="minorHAnsi"/>
          <w:sz w:val="22"/>
          <w:szCs w:val="22"/>
          <w:lang w:val="sq-AL"/>
        </w:rPr>
        <w:t>fizibil</w:t>
      </w:r>
      <w:proofErr w:type="spellEnd"/>
      <w:r w:rsidR="000D2B5A">
        <w:rPr>
          <w:rFonts w:asciiTheme="minorHAnsi" w:eastAsia="Batang" w:hAnsiTheme="minorHAnsi" w:cstheme="minorHAnsi"/>
          <w:sz w:val="22"/>
          <w:szCs w:val="22"/>
          <w:lang w:val="sq-AL"/>
        </w:rPr>
        <w:t xml:space="preserve"> </w:t>
      </w:r>
      <w:r w:rsidRPr="00125543">
        <w:rPr>
          <w:rFonts w:asciiTheme="minorHAnsi" w:eastAsia="Batang" w:hAnsiTheme="minorHAnsi" w:cstheme="minorHAnsi"/>
          <w:sz w:val="22"/>
          <w:szCs w:val="22"/>
          <w:lang w:val="sq-AL"/>
        </w:rPr>
        <w:t xml:space="preserve">për një ekonomi specifike është </w:t>
      </w:r>
      <w:proofErr w:type="spellStart"/>
      <w:r w:rsidRPr="00125543">
        <w:rPr>
          <w:rFonts w:asciiTheme="minorHAnsi" w:eastAsia="Batang" w:hAnsiTheme="minorHAnsi" w:cstheme="minorHAnsi"/>
          <w:sz w:val="22"/>
          <w:szCs w:val="22"/>
          <w:lang w:val="sq-AL"/>
        </w:rPr>
        <w:t>disponueshmëria</w:t>
      </w:r>
      <w:proofErr w:type="spellEnd"/>
      <w:r w:rsidRPr="00125543">
        <w:rPr>
          <w:rFonts w:asciiTheme="minorHAnsi" w:eastAsia="Batang" w:hAnsiTheme="minorHAnsi" w:cstheme="minorHAnsi"/>
          <w:sz w:val="22"/>
          <w:szCs w:val="22"/>
          <w:lang w:val="sq-AL"/>
        </w:rPr>
        <w:t xml:space="preserve"> e një </w:t>
      </w:r>
      <w:proofErr w:type="spellStart"/>
      <w:r w:rsidR="001F7E76">
        <w:rPr>
          <w:rFonts w:asciiTheme="minorHAnsi" w:eastAsia="Batang" w:hAnsiTheme="minorHAnsi" w:cstheme="minorHAnsi"/>
          <w:b/>
          <w:sz w:val="22"/>
          <w:szCs w:val="22"/>
          <w:lang w:val="sq-AL"/>
        </w:rPr>
        <w:t>databaze</w:t>
      </w:r>
      <w:proofErr w:type="spellEnd"/>
      <w:r w:rsidR="001F7E76">
        <w:rPr>
          <w:rFonts w:asciiTheme="minorHAnsi" w:eastAsia="Batang" w:hAnsiTheme="minorHAnsi" w:cstheme="minorHAnsi"/>
          <w:b/>
          <w:sz w:val="22"/>
          <w:szCs w:val="22"/>
          <w:lang w:val="sq-AL"/>
        </w:rPr>
        <w:t xml:space="preserve"> </w:t>
      </w:r>
      <w:r w:rsidRPr="00125543">
        <w:rPr>
          <w:rFonts w:asciiTheme="minorHAnsi" w:eastAsia="Batang" w:hAnsiTheme="minorHAnsi" w:cstheme="minorHAnsi"/>
          <w:b/>
          <w:sz w:val="22"/>
          <w:szCs w:val="22"/>
          <w:lang w:val="sq-AL"/>
        </w:rPr>
        <w:t>digjitale dhe të kërkueshme</w:t>
      </w:r>
      <w:r w:rsidRPr="00125543">
        <w:rPr>
          <w:rFonts w:asciiTheme="minorHAnsi" w:eastAsia="Batang" w:hAnsiTheme="minorHAnsi" w:cstheme="minorHAnsi"/>
          <w:sz w:val="22"/>
          <w:szCs w:val="22"/>
          <w:lang w:val="sq-AL"/>
        </w:rPr>
        <w:t xml:space="preserve"> që mbulon të gjitha ligjet dhe rregulloret përkatëse. Ekzistenca e një </w:t>
      </w:r>
      <w:proofErr w:type="spellStart"/>
      <w:r w:rsidR="001F7E76">
        <w:rPr>
          <w:rFonts w:asciiTheme="minorHAnsi" w:eastAsia="Batang" w:hAnsiTheme="minorHAnsi" w:cstheme="minorHAnsi"/>
          <w:sz w:val="22"/>
          <w:szCs w:val="22"/>
          <w:lang w:val="sq-AL"/>
        </w:rPr>
        <w:t>databaze</w:t>
      </w:r>
      <w:proofErr w:type="spellEnd"/>
      <w:r w:rsidR="001F7E76">
        <w:rPr>
          <w:rFonts w:asciiTheme="minorHAnsi" w:eastAsia="Batang" w:hAnsiTheme="minorHAnsi" w:cstheme="minorHAnsi"/>
          <w:sz w:val="22"/>
          <w:szCs w:val="22"/>
          <w:lang w:val="sq-AL"/>
        </w:rPr>
        <w:t xml:space="preserve"> t</w:t>
      </w:r>
      <w:r w:rsidR="006822F7">
        <w:rPr>
          <w:rFonts w:asciiTheme="minorHAnsi" w:eastAsia="Batang" w:hAnsiTheme="minorHAnsi" w:cstheme="minorHAnsi"/>
          <w:sz w:val="22"/>
          <w:szCs w:val="22"/>
          <w:lang w:val="sq-AL"/>
        </w:rPr>
        <w:t>ë</w:t>
      </w:r>
      <w:r w:rsidR="001F7E76">
        <w:rPr>
          <w:rFonts w:asciiTheme="minorHAnsi" w:eastAsia="Batang" w:hAnsiTheme="minorHAnsi" w:cstheme="minorHAnsi"/>
          <w:sz w:val="22"/>
          <w:szCs w:val="22"/>
          <w:lang w:val="sq-AL"/>
        </w:rPr>
        <w:t xml:space="preserve"> till</w:t>
      </w:r>
      <w:r w:rsidR="006822F7">
        <w:rPr>
          <w:rFonts w:asciiTheme="minorHAnsi" w:eastAsia="Batang" w:hAnsiTheme="minorHAnsi" w:cstheme="minorHAnsi"/>
          <w:sz w:val="22"/>
          <w:szCs w:val="22"/>
          <w:lang w:val="sq-AL"/>
        </w:rPr>
        <w:t>ë</w:t>
      </w:r>
      <w:r w:rsidR="001F7E76">
        <w:rPr>
          <w:rFonts w:asciiTheme="minorHAnsi" w:eastAsia="Batang" w:hAnsiTheme="minorHAnsi" w:cstheme="minorHAnsi"/>
          <w:sz w:val="22"/>
          <w:szCs w:val="22"/>
          <w:lang w:val="sq-AL"/>
        </w:rPr>
        <w:t xml:space="preserve"> </w:t>
      </w:r>
      <w:r w:rsidRPr="00125543">
        <w:rPr>
          <w:rFonts w:asciiTheme="minorHAnsi" w:eastAsia="Batang" w:hAnsiTheme="minorHAnsi" w:cstheme="minorHAnsi"/>
          <w:sz w:val="22"/>
          <w:szCs w:val="22"/>
          <w:lang w:val="sq-AL"/>
        </w:rPr>
        <w:t>lehtëson</w:t>
      </w:r>
      <w:r w:rsidR="001F7E76" w:rsidRPr="001F7E76">
        <w:rPr>
          <w:rFonts w:asciiTheme="minorHAnsi" w:eastAsia="Batang" w:hAnsiTheme="minorHAnsi" w:cstheme="minorHAnsi"/>
          <w:sz w:val="22"/>
          <w:szCs w:val="22"/>
          <w:lang w:val="sq-AL"/>
        </w:rPr>
        <w:t xml:space="preserve"> </w:t>
      </w:r>
      <w:r w:rsidR="001F7E76" w:rsidRPr="00125543">
        <w:rPr>
          <w:rFonts w:asciiTheme="minorHAnsi" w:eastAsia="Batang" w:hAnsiTheme="minorHAnsi" w:cstheme="minorHAnsi"/>
          <w:sz w:val="22"/>
          <w:szCs w:val="22"/>
          <w:lang w:val="sq-AL"/>
        </w:rPr>
        <w:t>në masë të madhe</w:t>
      </w:r>
      <w:r w:rsidRPr="00125543">
        <w:rPr>
          <w:rFonts w:asciiTheme="minorHAnsi" w:eastAsia="Batang" w:hAnsiTheme="minorHAnsi" w:cstheme="minorHAnsi"/>
          <w:sz w:val="22"/>
          <w:szCs w:val="22"/>
          <w:lang w:val="sq-AL"/>
        </w:rPr>
        <w:t xml:space="preserve"> identifikimin e ligjeve dhe rregulloreve përkatëse</w:t>
      </w:r>
      <w:r w:rsidR="001F7E76">
        <w:rPr>
          <w:rFonts w:asciiTheme="minorHAnsi" w:eastAsia="Batang" w:hAnsiTheme="minorHAnsi" w:cstheme="minorHAnsi"/>
          <w:sz w:val="22"/>
          <w:szCs w:val="22"/>
          <w:lang w:val="sq-AL"/>
        </w:rPr>
        <w:t xml:space="preserve"> dhe qasjen n</w:t>
      </w:r>
      <w:r w:rsidR="006822F7">
        <w:rPr>
          <w:rFonts w:asciiTheme="minorHAnsi" w:eastAsia="Batang" w:hAnsiTheme="minorHAnsi" w:cstheme="minorHAnsi"/>
          <w:sz w:val="22"/>
          <w:szCs w:val="22"/>
          <w:lang w:val="sq-AL"/>
        </w:rPr>
        <w:t>ë</w:t>
      </w:r>
      <w:r w:rsidR="001F7E76">
        <w:rPr>
          <w:rFonts w:asciiTheme="minorHAnsi" w:eastAsia="Batang" w:hAnsiTheme="minorHAnsi" w:cstheme="minorHAnsi"/>
          <w:sz w:val="22"/>
          <w:szCs w:val="22"/>
          <w:lang w:val="sq-AL"/>
        </w:rPr>
        <w:t xml:space="preserve"> to</w:t>
      </w:r>
      <w:r w:rsidRPr="00125543">
        <w:rPr>
          <w:rFonts w:asciiTheme="minorHAnsi" w:eastAsia="Batang" w:hAnsiTheme="minorHAnsi" w:cstheme="minorHAnsi"/>
          <w:sz w:val="22"/>
          <w:szCs w:val="22"/>
          <w:lang w:val="sq-AL"/>
        </w:rPr>
        <w:t xml:space="preserve">. Për më tepër, një faktor tjetër që ndikon në fushëveprimin e mbulimit që mund të menaxhohet në mënyrë efektive është se deri në çfarë shkalle ministritë e linjës dhe autoritetet e sektorit </w:t>
      </w:r>
      <w:r w:rsidR="001F7E76">
        <w:rPr>
          <w:rFonts w:asciiTheme="minorHAnsi" w:eastAsia="Batang" w:hAnsiTheme="minorHAnsi" w:cstheme="minorHAnsi"/>
          <w:sz w:val="22"/>
          <w:szCs w:val="22"/>
          <w:lang w:val="sq-AL"/>
        </w:rPr>
        <w:t>p</w:t>
      </w:r>
      <w:r w:rsidR="006822F7">
        <w:rPr>
          <w:rFonts w:asciiTheme="minorHAnsi" w:eastAsia="Batang" w:hAnsiTheme="minorHAnsi" w:cstheme="minorHAnsi"/>
          <w:sz w:val="22"/>
          <w:szCs w:val="22"/>
          <w:lang w:val="sq-AL"/>
        </w:rPr>
        <w:t>ë</w:t>
      </w:r>
      <w:r w:rsidR="001F7E76">
        <w:rPr>
          <w:rFonts w:asciiTheme="minorHAnsi" w:eastAsia="Batang" w:hAnsiTheme="minorHAnsi" w:cstheme="minorHAnsi"/>
          <w:sz w:val="22"/>
          <w:szCs w:val="22"/>
          <w:lang w:val="sq-AL"/>
        </w:rPr>
        <w:t xml:space="preserve">rfshihen </w:t>
      </w:r>
      <w:r w:rsidRPr="00125543">
        <w:rPr>
          <w:rFonts w:asciiTheme="minorHAnsi" w:eastAsia="Batang" w:hAnsiTheme="minorHAnsi" w:cstheme="minorHAnsi"/>
          <w:sz w:val="22"/>
          <w:szCs w:val="22"/>
          <w:lang w:val="sq-AL"/>
        </w:rPr>
        <w:t xml:space="preserve">dhe kontribuojnë në </w:t>
      </w:r>
      <w:r w:rsidR="001F7E76">
        <w:rPr>
          <w:rFonts w:asciiTheme="minorHAnsi" w:eastAsia="Batang" w:hAnsiTheme="minorHAnsi" w:cstheme="minorHAnsi"/>
          <w:sz w:val="22"/>
          <w:szCs w:val="22"/>
          <w:lang w:val="sq-AL"/>
        </w:rPr>
        <w:t>rishikimin</w:t>
      </w:r>
      <w:r w:rsidR="00C422E9" w:rsidRPr="009A66BD">
        <w:rPr>
          <w:rFonts w:asciiTheme="minorHAnsi" w:eastAsia="Batang" w:hAnsiTheme="minorHAnsi" w:cstheme="minorHAnsi"/>
          <w:sz w:val="22"/>
          <w:szCs w:val="22"/>
          <w:lang w:val="sq-AL"/>
        </w:rPr>
        <w:t>.</w:t>
      </w:r>
    </w:p>
    <w:p w14:paraId="698E8888" w14:textId="31FBAF5D" w:rsidR="00C422E9" w:rsidRPr="009A66BD" w:rsidRDefault="004154FB" w:rsidP="00C422E9">
      <w:pPr>
        <w:spacing w:after="120" w:line="254" w:lineRule="auto"/>
        <w:ind w:firstLine="0"/>
        <w:rPr>
          <w:rFonts w:ascii="Calibri" w:eastAsia="SimSun" w:hAnsi="Calibri" w:cs="Arial"/>
          <w:sz w:val="22"/>
          <w:szCs w:val="18"/>
          <w:lang w:val="sq-AL" w:eastAsia="zh-CN"/>
        </w:rPr>
      </w:pPr>
      <w:r w:rsidRPr="00996B0F">
        <w:rPr>
          <w:rFonts w:ascii="Calibri" w:eastAsia="SimSun" w:hAnsi="Calibri" w:cs="Arial"/>
          <w:b/>
          <w:sz w:val="22"/>
          <w:szCs w:val="18"/>
          <w:lang w:val="sq-AL" w:eastAsia="zh-CN"/>
        </w:rPr>
        <w:t>Lista</w:t>
      </w:r>
      <w:r w:rsidRPr="004154FB">
        <w:rPr>
          <w:rFonts w:ascii="Calibri" w:eastAsia="SimSun" w:hAnsi="Calibri" w:cs="Arial"/>
          <w:sz w:val="22"/>
          <w:szCs w:val="18"/>
          <w:lang w:val="sq-AL" w:eastAsia="zh-CN"/>
        </w:rPr>
        <w:t xml:space="preserve"> rezultuese, e cila mund të jetë në formatin e një faqe të Excel-it, duhet të përfshijë fushat e mëposhtme për çdo masë (</w:t>
      </w:r>
      <w:proofErr w:type="spellStart"/>
      <w:r w:rsidRPr="004154FB">
        <w:rPr>
          <w:rFonts w:ascii="Calibri" w:eastAsia="SimSun" w:hAnsi="Calibri" w:cs="Arial"/>
          <w:sz w:val="22"/>
          <w:szCs w:val="18"/>
          <w:lang w:val="sq-AL" w:eastAsia="zh-CN"/>
        </w:rPr>
        <w:t>indikative</w:t>
      </w:r>
      <w:proofErr w:type="spellEnd"/>
      <w:r w:rsidR="00C422E9" w:rsidRPr="009A66BD">
        <w:rPr>
          <w:rFonts w:ascii="Calibri" w:eastAsia="SimSun" w:hAnsi="Calibri" w:cs="Arial"/>
          <w:sz w:val="22"/>
          <w:szCs w:val="18"/>
          <w:lang w:val="sq-AL" w:eastAsia="zh-CN"/>
        </w:rPr>
        <w:t>):</w:t>
      </w:r>
    </w:p>
    <w:p w14:paraId="1C18B5C1" w14:textId="77777777" w:rsidR="00C422E9" w:rsidRPr="009A66BD" w:rsidRDefault="00C422E9" w:rsidP="00C422E9">
      <w:pPr>
        <w:spacing w:after="120" w:line="254" w:lineRule="auto"/>
        <w:ind w:firstLine="0"/>
        <w:contextualSpacing/>
        <w:rPr>
          <w:rFonts w:ascii="Calibri" w:eastAsia="SimSun" w:hAnsi="Calibri" w:cs="Arial"/>
          <w:sz w:val="22"/>
          <w:szCs w:val="18"/>
          <w:lang w:val="sq-AL" w:eastAsia="zh-CN"/>
        </w:rPr>
      </w:pPr>
    </w:p>
    <w:tbl>
      <w:tblPr>
        <w:tblW w:w="4988" w:type="pct"/>
        <w:tblLook w:val="04A0" w:firstRow="1" w:lastRow="0" w:firstColumn="1" w:lastColumn="0" w:noHBand="0" w:noVBand="1"/>
      </w:tblPr>
      <w:tblGrid>
        <w:gridCol w:w="437"/>
        <w:gridCol w:w="2021"/>
        <w:gridCol w:w="1816"/>
        <w:gridCol w:w="2401"/>
        <w:gridCol w:w="1328"/>
        <w:gridCol w:w="1217"/>
      </w:tblGrid>
      <w:tr w:rsidR="00C422E9" w:rsidRPr="009A66BD" w14:paraId="2366D704" w14:textId="77777777" w:rsidTr="00CF3151">
        <w:trPr>
          <w:trHeight w:val="630"/>
        </w:trPr>
        <w:tc>
          <w:tcPr>
            <w:tcW w:w="237"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7B01799D" w14:textId="77777777" w:rsidR="00C422E9" w:rsidRPr="009A66BD" w:rsidRDefault="00C422E9" w:rsidP="00CF3151">
            <w:pPr>
              <w:spacing w:after="120" w:line="254" w:lineRule="auto"/>
              <w:ind w:firstLine="0"/>
              <w:contextualSpacing/>
              <w:rPr>
                <w:rFonts w:ascii="Calibri" w:hAnsi="Calibri" w:cs="Calibri"/>
                <w:b/>
                <w:bCs/>
                <w:color w:val="000000"/>
                <w:lang w:val="sq-AL"/>
              </w:rPr>
            </w:pPr>
            <w:r w:rsidRPr="009A66BD">
              <w:rPr>
                <w:rFonts w:ascii="Calibri" w:eastAsia="Batang" w:hAnsi="Calibri" w:cs="Calibri"/>
                <w:b/>
                <w:bCs/>
                <w:color w:val="000000"/>
                <w:szCs w:val="22"/>
                <w:lang w:val="sq-AL"/>
              </w:rPr>
              <w:t>#</w:t>
            </w:r>
          </w:p>
        </w:tc>
        <w:tc>
          <w:tcPr>
            <w:tcW w:w="1096" w:type="pct"/>
            <w:tcBorders>
              <w:top w:val="single" w:sz="4" w:space="0" w:color="auto"/>
              <w:left w:val="nil"/>
              <w:bottom w:val="single" w:sz="4" w:space="0" w:color="auto"/>
              <w:right w:val="single" w:sz="4" w:space="0" w:color="auto"/>
            </w:tcBorders>
            <w:shd w:val="clear" w:color="auto" w:fill="CCCCFF"/>
            <w:vAlign w:val="center"/>
            <w:hideMark/>
          </w:tcPr>
          <w:p w14:paraId="02A36756" w14:textId="5B4C4361" w:rsidR="00C422E9" w:rsidRPr="009A66BD" w:rsidRDefault="004154FB" w:rsidP="00CF3151">
            <w:pPr>
              <w:spacing w:after="120" w:line="254" w:lineRule="auto"/>
              <w:ind w:firstLine="0"/>
              <w:contextualSpacing/>
              <w:rPr>
                <w:rFonts w:ascii="Calibri" w:eastAsia="Batang" w:hAnsi="Calibri" w:cs="Calibri"/>
                <w:b/>
                <w:bCs/>
                <w:color w:val="000000"/>
                <w:szCs w:val="22"/>
                <w:lang w:val="sq-AL"/>
              </w:rPr>
            </w:pPr>
            <w:r>
              <w:rPr>
                <w:rFonts w:ascii="Calibri" w:eastAsia="Batang" w:hAnsi="Calibri" w:cs="Calibri"/>
                <w:b/>
                <w:bCs/>
                <w:color w:val="000000"/>
                <w:szCs w:val="22"/>
                <w:lang w:val="sq-AL"/>
              </w:rPr>
              <w:t>Sektori</w:t>
            </w:r>
          </w:p>
        </w:tc>
        <w:tc>
          <w:tcPr>
            <w:tcW w:w="985" w:type="pct"/>
            <w:tcBorders>
              <w:top w:val="single" w:sz="4" w:space="0" w:color="auto"/>
              <w:left w:val="nil"/>
              <w:bottom w:val="single" w:sz="4" w:space="0" w:color="auto"/>
              <w:right w:val="single" w:sz="4" w:space="0" w:color="auto"/>
            </w:tcBorders>
            <w:shd w:val="clear" w:color="auto" w:fill="CCCCFF"/>
            <w:vAlign w:val="center"/>
            <w:hideMark/>
          </w:tcPr>
          <w:p w14:paraId="51C005EA" w14:textId="69384C2A" w:rsidR="00C422E9" w:rsidRPr="009A66BD" w:rsidRDefault="004154FB" w:rsidP="001F7E76">
            <w:pPr>
              <w:spacing w:after="120" w:line="254" w:lineRule="auto"/>
              <w:ind w:firstLine="0"/>
              <w:contextualSpacing/>
              <w:rPr>
                <w:rFonts w:ascii="Calibri" w:eastAsia="Batang" w:hAnsi="Calibri" w:cs="Calibri"/>
                <w:b/>
                <w:bCs/>
                <w:color w:val="000000"/>
                <w:szCs w:val="22"/>
                <w:lang w:val="sq-AL"/>
              </w:rPr>
            </w:pPr>
            <w:r w:rsidRPr="004154FB">
              <w:rPr>
                <w:rFonts w:ascii="Calibri" w:eastAsia="Batang" w:hAnsi="Calibri" w:cs="Calibri"/>
                <w:b/>
                <w:bCs/>
                <w:color w:val="000000"/>
                <w:szCs w:val="22"/>
                <w:lang w:val="sq-AL"/>
              </w:rPr>
              <w:t>Parime</w:t>
            </w:r>
            <w:r w:rsidR="001F7E76">
              <w:rPr>
                <w:rFonts w:ascii="Calibri" w:eastAsia="Batang" w:hAnsi="Calibri" w:cs="Calibri"/>
                <w:b/>
                <w:bCs/>
                <w:color w:val="000000"/>
                <w:szCs w:val="22"/>
                <w:lang w:val="sq-AL"/>
              </w:rPr>
              <w:t>t e prekura</w:t>
            </w:r>
          </w:p>
        </w:tc>
        <w:tc>
          <w:tcPr>
            <w:tcW w:w="1302" w:type="pct"/>
            <w:tcBorders>
              <w:top w:val="single" w:sz="4" w:space="0" w:color="auto"/>
              <w:left w:val="nil"/>
              <w:bottom w:val="single" w:sz="4" w:space="0" w:color="auto"/>
              <w:right w:val="single" w:sz="4" w:space="0" w:color="auto"/>
            </w:tcBorders>
            <w:shd w:val="clear" w:color="auto" w:fill="CCCCFF"/>
            <w:vAlign w:val="center"/>
            <w:hideMark/>
          </w:tcPr>
          <w:p w14:paraId="4EAFBA46" w14:textId="0500852D" w:rsidR="00C422E9" w:rsidRPr="009A66BD" w:rsidRDefault="00AF52FC" w:rsidP="00CF3151">
            <w:pPr>
              <w:spacing w:after="120" w:line="254" w:lineRule="auto"/>
              <w:ind w:firstLine="0"/>
              <w:contextualSpacing/>
              <w:rPr>
                <w:rFonts w:ascii="Calibri" w:eastAsia="Batang" w:hAnsi="Calibri" w:cs="Calibri"/>
                <w:b/>
                <w:bCs/>
                <w:color w:val="000000"/>
                <w:szCs w:val="22"/>
                <w:lang w:val="sq-AL"/>
              </w:rPr>
            </w:pPr>
            <w:r>
              <w:rPr>
                <w:rFonts w:ascii="Calibri" w:eastAsia="Batang" w:hAnsi="Calibri" w:cs="Calibri"/>
                <w:b/>
                <w:bCs/>
                <w:color w:val="000000"/>
                <w:szCs w:val="22"/>
                <w:lang w:val="sq-AL"/>
              </w:rPr>
              <w:t xml:space="preserve">Konflikti i mundshëm me të drejtën </w:t>
            </w:r>
            <w:r w:rsidR="004154FB" w:rsidRPr="004154FB">
              <w:rPr>
                <w:rFonts w:ascii="Calibri" w:eastAsia="Batang" w:hAnsi="Calibri" w:cs="Calibri"/>
                <w:b/>
                <w:bCs/>
                <w:color w:val="000000"/>
                <w:szCs w:val="22"/>
                <w:lang w:val="sq-AL"/>
              </w:rPr>
              <w:t>e BE-së (Direktiva e Shërbimeve)</w:t>
            </w:r>
          </w:p>
        </w:tc>
        <w:tc>
          <w:tcPr>
            <w:tcW w:w="720" w:type="pct"/>
            <w:tcBorders>
              <w:top w:val="single" w:sz="4" w:space="0" w:color="auto"/>
              <w:left w:val="nil"/>
              <w:bottom w:val="single" w:sz="4" w:space="0" w:color="auto"/>
              <w:right w:val="single" w:sz="4" w:space="0" w:color="auto"/>
            </w:tcBorders>
            <w:shd w:val="clear" w:color="auto" w:fill="CCCCFF"/>
            <w:vAlign w:val="center"/>
            <w:hideMark/>
          </w:tcPr>
          <w:p w14:paraId="4689FF39" w14:textId="1E263322" w:rsidR="00C422E9" w:rsidRPr="009A66BD" w:rsidRDefault="004154FB" w:rsidP="00CF3151">
            <w:pPr>
              <w:spacing w:after="120" w:line="254" w:lineRule="auto"/>
              <w:ind w:firstLine="0"/>
              <w:contextualSpacing/>
              <w:rPr>
                <w:rFonts w:ascii="Calibri" w:eastAsia="Batang" w:hAnsi="Calibri" w:cs="Calibri"/>
                <w:b/>
                <w:bCs/>
                <w:color w:val="000000"/>
                <w:szCs w:val="22"/>
                <w:lang w:val="sq-AL"/>
              </w:rPr>
            </w:pPr>
            <w:r>
              <w:rPr>
                <w:rFonts w:ascii="Calibri" w:eastAsia="Batang" w:hAnsi="Calibri" w:cs="Calibri"/>
                <w:b/>
                <w:bCs/>
                <w:color w:val="000000"/>
                <w:szCs w:val="22"/>
                <w:lang w:val="sq-AL"/>
              </w:rPr>
              <w:t>Masat</w:t>
            </w:r>
          </w:p>
        </w:tc>
        <w:tc>
          <w:tcPr>
            <w:tcW w:w="661" w:type="pct"/>
            <w:tcBorders>
              <w:top w:val="single" w:sz="4" w:space="0" w:color="auto"/>
              <w:left w:val="nil"/>
              <w:bottom w:val="single" w:sz="4" w:space="0" w:color="auto"/>
              <w:right w:val="single" w:sz="4" w:space="0" w:color="auto"/>
            </w:tcBorders>
            <w:shd w:val="clear" w:color="auto" w:fill="CCCCFF"/>
            <w:vAlign w:val="center"/>
            <w:hideMark/>
          </w:tcPr>
          <w:p w14:paraId="371107D9" w14:textId="57144901" w:rsidR="00C422E9" w:rsidRPr="009A66BD" w:rsidRDefault="004154FB" w:rsidP="00CF3151">
            <w:pPr>
              <w:spacing w:after="120" w:line="254" w:lineRule="auto"/>
              <w:ind w:firstLine="0"/>
              <w:contextualSpacing/>
              <w:rPr>
                <w:rFonts w:ascii="Calibri" w:eastAsia="Batang" w:hAnsi="Calibri" w:cs="Calibri"/>
                <w:b/>
                <w:bCs/>
                <w:color w:val="000000"/>
                <w:szCs w:val="22"/>
                <w:lang w:val="sq-AL"/>
              </w:rPr>
            </w:pPr>
            <w:r>
              <w:rPr>
                <w:rFonts w:ascii="Calibri" w:eastAsia="Batang" w:hAnsi="Calibri" w:cs="Calibri"/>
                <w:b/>
                <w:bCs/>
                <w:color w:val="000000"/>
                <w:szCs w:val="22"/>
                <w:lang w:val="sq-AL"/>
              </w:rPr>
              <w:t>Përshkrimi</w:t>
            </w:r>
          </w:p>
        </w:tc>
      </w:tr>
      <w:tr w:rsidR="00C422E9" w:rsidRPr="0086105D" w14:paraId="633E3AA9" w14:textId="77777777" w:rsidTr="00CF3151">
        <w:trPr>
          <w:trHeight w:val="300"/>
        </w:trPr>
        <w:tc>
          <w:tcPr>
            <w:tcW w:w="237" w:type="pct"/>
            <w:tcBorders>
              <w:top w:val="nil"/>
              <w:left w:val="single" w:sz="4" w:space="0" w:color="auto"/>
              <w:bottom w:val="single" w:sz="4" w:space="0" w:color="auto"/>
              <w:right w:val="single" w:sz="4" w:space="0" w:color="auto"/>
            </w:tcBorders>
            <w:noWrap/>
            <w:hideMark/>
          </w:tcPr>
          <w:p w14:paraId="3B537D5C" w14:textId="77777777" w:rsidR="00C422E9" w:rsidRPr="009A66BD" w:rsidRDefault="00C422E9" w:rsidP="00CF3151">
            <w:pPr>
              <w:spacing w:after="120" w:line="254" w:lineRule="auto"/>
              <w:ind w:firstLine="0"/>
              <w:contextualSpacing/>
              <w:rPr>
                <w:rFonts w:ascii="Calibri" w:eastAsia="Batang" w:hAnsi="Calibri" w:cs="Calibri"/>
                <w:i/>
                <w:color w:val="000000"/>
                <w:szCs w:val="22"/>
                <w:lang w:val="sq-AL"/>
              </w:rPr>
            </w:pPr>
            <w:r w:rsidRPr="009A66BD">
              <w:rPr>
                <w:rFonts w:ascii="Calibri" w:eastAsia="Batang" w:hAnsi="Calibri" w:cs="Calibri"/>
                <w:i/>
                <w:color w:val="000000"/>
                <w:szCs w:val="22"/>
                <w:lang w:val="sq-AL"/>
              </w:rPr>
              <w:t> 1</w:t>
            </w:r>
          </w:p>
        </w:tc>
        <w:tc>
          <w:tcPr>
            <w:tcW w:w="1096" w:type="pct"/>
            <w:tcBorders>
              <w:top w:val="nil"/>
              <w:left w:val="nil"/>
              <w:bottom w:val="single" w:sz="4" w:space="0" w:color="auto"/>
              <w:right w:val="single" w:sz="4" w:space="0" w:color="auto"/>
            </w:tcBorders>
            <w:noWrap/>
            <w:hideMark/>
          </w:tcPr>
          <w:p w14:paraId="0CFD0226" w14:textId="4345998D" w:rsidR="00C422E9" w:rsidRPr="009A66BD" w:rsidRDefault="004154FB" w:rsidP="00CF3151">
            <w:pPr>
              <w:spacing w:after="120" w:line="254" w:lineRule="auto"/>
              <w:ind w:firstLine="0"/>
              <w:contextualSpacing/>
              <w:rPr>
                <w:rFonts w:ascii="Calibri" w:eastAsia="Batang" w:hAnsi="Calibri" w:cs="Calibri"/>
                <w:i/>
                <w:color w:val="000000"/>
                <w:szCs w:val="22"/>
                <w:lang w:val="sq-AL"/>
              </w:rPr>
            </w:pPr>
            <w:r w:rsidRPr="004154FB">
              <w:rPr>
                <w:rFonts w:ascii="Calibri" w:eastAsia="Batang" w:hAnsi="Calibri" w:cs="Calibri"/>
                <w:i/>
                <w:color w:val="000000"/>
                <w:szCs w:val="22"/>
                <w:lang w:val="sq-AL"/>
              </w:rPr>
              <w:t>Shërbimet e ndërtimit</w:t>
            </w:r>
          </w:p>
        </w:tc>
        <w:tc>
          <w:tcPr>
            <w:tcW w:w="985" w:type="pct"/>
            <w:tcBorders>
              <w:top w:val="nil"/>
              <w:left w:val="nil"/>
              <w:bottom w:val="single" w:sz="4" w:space="0" w:color="auto"/>
              <w:right w:val="single" w:sz="4" w:space="0" w:color="auto"/>
            </w:tcBorders>
            <w:hideMark/>
          </w:tcPr>
          <w:p w14:paraId="61482978" w14:textId="32893D4C" w:rsidR="00C422E9" w:rsidRPr="009A66BD" w:rsidRDefault="004154FB" w:rsidP="00CF3151">
            <w:pPr>
              <w:spacing w:after="120" w:line="254" w:lineRule="auto"/>
              <w:ind w:firstLine="0"/>
              <w:contextualSpacing/>
              <w:rPr>
                <w:rFonts w:ascii="Calibri" w:eastAsia="Batang" w:hAnsi="Calibri" w:cs="Calibri"/>
                <w:i/>
                <w:color w:val="000000"/>
                <w:szCs w:val="22"/>
                <w:lang w:val="sq-AL"/>
              </w:rPr>
            </w:pPr>
            <w:proofErr w:type="spellStart"/>
            <w:r>
              <w:rPr>
                <w:rFonts w:ascii="Calibri" w:eastAsia="Batang" w:hAnsi="Calibri" w:cs="Calibri"/>
                <w:i/>
                <w:color w:val="000000"/>
                <w:szCs w:val="22"/>
                <w:lang w:val="sq-AL"/>
              </w:rPr>
              <w:t>Mosdiskriminimi</w:t>
            </w:r>
            <w:proofErr w:type="spellEnd"/>
          </w:p>
        </w:tc>
        <w:tc>
          <w:tcPr>
            <w:tcW w:w="1302" w:type="pct"/>
            <w:tcBorders>
              <w:top w:val="nil"/>
              <w:left w:val="nil"/>
              <w:bottom w:val="single" w:sz="4" w:space="0" w:color="auto"/>
              <w:right w:val="single" w:sz="4" w:space="0" w:color="auto"/>
            </w:tcBorders>
            <w:hideMark/>
          </w:tcPr>
          <w:p w14:paraId="286BCD3E" w14:textId="1BA169CE" w:rsidR="00C422E9" w:rsidRPr="009A66BD" w:rsidRDefault="00C422E9" w:rsidP="0086105D">
            <w:pPr>
              <w:spacing w:after="120" w:line="254" w:lineRule="auto"/>
              <w:ind w:firstLine="0"/>
              <w:contextualSpacing/>
              <w:rPr>
                <w:rFonts w:ascii="Calibri" w:eastAsia="Batang" w:hAnsi="Calibri" w:cs="Calibri"/>
                <w:i/>
                <w:color w:val="000000"/>
                <w:szCs w:val="22"/>
                <w:lang w:val="sq-AL"/>
              </w:rPr>
            </w:pPr>
            <w:r w:rsidRPr="009A66BD">
              <w:rPr>
                <w:rFonts w:ascii="Calibri" w:eastAsia="Batang" w:hAnsi="Calibri" w:cs="Calibri"/>
                <w:i/>
                <w:color w:val="000000"/>
                <w:szCs w:val="22"/>
                <w:lang w:val="sq-AL"/>
              </w:rPr>
              <w:t> </w:t>
            </w:r>
            <w:r w:rsidR="004154FB" w:rsidRPr="004154FB">
              <w:rPr>
                <w:rFonts w:ascii="Calibri" w:eastAsia="Batang" w:hAnsi="Calibri" w:cs="Calibri"/>
                <w:i/>
                <w:color w:val="000000"/>
                <w:szCs w:val="22"/>
                <w:lang w:val="sq-AL"/>
              </w:rPr>
              <w:t>Direk</w:t>
            </w:r>
            <w:r w:rsidR="004154FB">
              <w:rPr>
                <w:rFonts w:ascii="Calibri" w:eastAsia="Batang" w:hAnsi="Calibri" w:cs="Calibri"/>
                <w:i/>
                <w:color w:val="000000"/>
                <w:szCs w:val="22"/>
                <w:lang w:val="sq-AL"/>
              </w:rPr>
              <w:t xml:space="preserve">tiva e Shërbimeve </w:t>
            </w:r>
            <w:r w:rsidR="0086105D">
              <w:rPr>
                <w:rFonts w:ascii="Calibri" w:eastAsia="Batang" w:hAnsi="Calibri" w:cs="Calibri"/>
                <w:i/>
                <w:color w:val="000000"/>
                <w:szCs w:val="22"/>
                <w:lang w:val="sq-AL"/>
              </w:rPr>
              <w:t>N</w:t>
            </w:r>
            <w:r w:rsidR="004154FB">
              <w:rPr>
                <w:rFonts w:ascii="Calibri" w:eastAsia="Batang" w:hAnsi="Calibri" w:cs="Calibri"/>
                <w:i/>
                <w:color w:val="000000"/>
                <w:szCs w:val="22"/>
                <w:lang w:val="sq-AL"/>
              </w:rPr>
              <w:t xml:space="preserve">eni </w:t>
            </w:r>
            <w:r w:rsidR="004154FB" w:rsidRPr="004154FB">
              <w:rPr>
                <w:rFonts w:ascii="Calibri" w:eastAsia="Batang" w:hAnsi="Calibri" w:cs="Calibri"/>
                <w:i/>
                <w:color w:val="000000"/>
                <w:szCs w:val="22"/>
                <w:lang w:val="sq-AL"/>
              </w:rPr>
              <w:t>14 (1) (a)</w:t>
            </w:r>
          </w:p>
        </w:tc>
        <w:tc>
          <w:tcPr>
            <w:tcW w:w="720" w:type="pct"/>
            <w:tcBorders>
              <w:top w:val="nil"/>
              <w:left w:val="nil"/>
              <w:bottom w:val="single" w:sz="4" w:space="0" w:color="auto"/>
              <w:right w:val="single" w:sz="4" w:space="0" w:color="auto"/>
            </w:tcBorders>
            <w:hideMark/>
          </w:tcPr>
          <w:p w14:paraId="4AAD8589" w14:textId="6A99FAA5" w:rsidR="00C422E9" w:rsidRPr="009A66BD" w:rsidRDefault="00C422E9" w:rsidP="00CF3151">
            <w:pPr>
              <w:spacing w:after="120" w:line="254" w:lineRule="auto"/>
              <w:ind w:firstLine="0"/>
              <w:contextualSpacing/>
              <w:rPr>
                <w:rFonts w:ascii="Calibri" w:eastAsia="Batang" w:hAnsi="Calibri" w:cs="Calibri"/>
                <w:i/>
                <w:color w:val="000000"/>
                <w:szCs w:val="22"/>
                <w:lang w:val="sq-AL"/>
              </w:rPr>
            </w:pPr>
            <w:r w:rsidRPr="009A66BD">
              <w:rPr>
                <w:rFonts w:ascii="Calibri" w:eastAsia="Batang" w:hAnsi="Calibri" w:cs="Calibri"/>
                <w:i/>
                <w:color w:val="000000"/>
                <w:szCs w:val="22"/>
                <w:lang w:val="sq-AL"/>
              </w:rPr>
              <w:t> </w:t>
            </w:r>
            <w:r w:rsidR="0086105D" w:rsidRPr="0086105D">
              <w:rPr>
                <w:rFonts w:ascii="Calibri" w:eastAsia="Batang" w:hAnsi="Calibri" w:cs="Calibri"/>
                <w:i/>
                <w:color w:val="000000"/>
                <w:szCs w:val="22"/>
                <w:lang w:val="sq-AL"/>
              </w:rPr>
              <w:t>Rregullorja X e Qeverisë</w:t>
            </w:r>
          </w:p>
        </w:tc>
        <w:tc>
          <w:tcPr>
            <w:tcW w:w="661" w:type="pct"/>
            <w:tcBorders>
              <w:top w:val="single" w:sz="4" w:space="0" w:color="auto"/>
              <w:left w:val="nil"/>
              <w:bottom w:val="single" w:sz="4" w:space="0" w:color="auto"/>
              <w:right w:val="single" w:sz="4" w:space="0" w:color="000000"/>
            </w:tcBorders>
            <w:hideMark/>
          </w:tcPr>
          <w:p w14:paraId="7DE8B394" w14:textId="2CBD50A7" w:rsidR="00C422E9" w:rsidRPr="009A66BD" w:rsidRDefault="0086105D" w:rsidP="00CF3151">
            <w:pPr>
              <w:spacing w:after="120" w:line="254" w:lineRule="auto"/>
              <w:ind w:firstLine="0"/>
              <w:contextualSpacing/>
              <w:rPr>
                <w:rFonts w:ascii="Calibri" w:eastAsia="Batang" w:hAnsi="Calibri" w:cs="Calibri"/>
                <w:i/>
                <w:color w:val="000000"/>
                <w:szCs w:val="22"/>
                <w:lang w:val="sq-AL"/>
              </w:rPr>
            </w:pPr>
            <w:r w:rsidRPr="0086105D">
              <w:rPr>
                <w:rFonts w:ascii="Calibri" w:eastAsia="Batang" w:hAnsi="Calibri" w:cs="Calibri"/>
                <w:i/>
                <w:color w:val="000000"/>
                <w:szCs w:val="22"/>
                <w:lang w:val="sq-AL"/>
              </w:rPr>
              <w:t xml:space="preserve">Pronësia e kapitalit të huaj </w:t>
            </w:r>
            <w:proofErr w:type="spellStart"/>
            <w:r w:rsidRPr="0086105D">
              <w:rPr>
                <w:rFonts w:ascii="Calibri" w:eastAsia="Batang" w:hAnsi="Calibri" w:cs="Calibri"/>
                <w:i/>
                <w:color w:val="000000"/>
                <w:szCs w:val="22"/>
                <w:lang w:val="sq-AL"/>
              </w:rPr>
              <w:t>max</w:t>
            </w:r>
            <w:proofErr w:type="spellEnd"/>
            <w:r w:rsidRPr="0086105D">
              <w:rPr>
                <w:rFonts w:ascii="Calibri" w:eastAsia="Batang" w:hAnsi="Calibri" w:cs="Calibri"/>
                <w:i/>
                <w:color w:val="000000"/>
                <w:szCs w:val="22"/>
                <w:lang w:val="sq-AL"/>
              </w:rPr>
              <w:t>. 49%</w:t>
            </w:r>
          </w:p>
        </w:tc>
      </w:tr>
      <w:tr w:rsidR="00C422E9" w:rsidRPr="0086105D" w14:paraId="281F2410" w14:textId="77777777" w:rsidTr="00CF3151">
        <w:trPr>
          <w:trHeight w:val="50"/>
        </w:trPr>
        <w:tc>
          <w:tcPr>
            <w:tcW w:w="237" w:type="pct"/>
            <w:tcBorders>
              <w:top w:val="nil"/>
              <w:left w:val="single" w:sz="4" w:space="0" w:color="auto"/>
              <w:bottom w:val="single" w:sz="4" w:space="0" w:color="auto"/>
              <w:right w:val="single" w:sz="4" w:space="0" w:color="auto"/>
            </w:tcBorders>
            <w:noWrap/>
            <w:hideMark/>
          </w:tcPr>
          <w:p w14:paraId="655D5603" w14:textId="77777777" w:rsidR="00C422E9" w:rsidRPr="009A66BD" w:rsidRDefault="00C422E9" w:rsidP="00CF3151">
            <w:pPr>
              <w:spacing w:after="120" w:line="254" w:lineRule="auto"/>
              <w:ind w:firstLine="0"/>
              <w:contextualSpacing/>
              <w:rPr>
                <w:rFonts w:ascii="Calibri" w:eastAsia="Batang" w:hAnsi="Calibri" w:cs="Calibri"/>
                <w:color w:val="000000"/>
                <w:szCs w:val="22"/>
                <w:lang w:val="sq-AL"/>
              </w:rPr>
            </w:pPr>
            <w:r w:rsidRPr="009A66BD">
              <w:rPr>
                <w:rFonts w:ascii="Calibri" w:eastAsia="Batang" w:hAnsi="Calibri" w:cs="Calibri"/>
                <w:color w:val="000000"/>
                <w:szCs w:val="22"/>
                <w:lang w:val="sq-AL"/>
              </w:rPr>
              <w:t> </w:t>
            </w:r>
          </w:p>
        </w:tc>
        <w:tc>
          <w:tcPr>
            <w:tcW w:w="1096" w:type="pct"/>
            <w:tcBorders>
              <w:top w:val="nil"/>
              <w:left w:val="nil"/>
              <w:bottom w:val="single" w:sz="4" w:space="0" w:color="auto"/>
              <w:right w:val="single" w:sz="4" w:space="0" w:color="auto"/>
            </w:tcBorders>
            <w:noWrap/>
            <w:hideMark/>
          </w:tcPr>
          <w:p w14:paraId="48B98B27" w14:textId="77777777" w:rsidR="00C422E9" w:rsidRPr="009A66BD" w:rsidRDefault="00C422E9" w:rsidP="00CF3151">
            <w:pPr>
              <w:spacing w:after="120" w:line="254" w:lineRule="auto"/>
              <w:ind w:firstLine="0"/>
              <w:contextualSpacing/>
              <w:rPr>
                <w:rFonts w:ascii="Calibri" w:eastAsia="Batang" w:hAnsi="Calibri" w:cs="Calibri"/>
                <w:color w:val="000000"/>
                <w:szCs w:val="22"/>
                <w:lang w:val="sq-AL"/>
              </w:rPr>
            </w:pPr>
            <w:r w:rsidRPr="009A66BD">
              <w:rPr>
                <w:rFonts w:ascii="Calibri" w:eastAsia="Batang" w:hAnsi="Calibri" w:cs="Calibri"/>
                <w:color w:val="000000"/>
                <w:szCs w:val="22"/>
                <w:lang w:val="sq-AL"/>
              </w:rPr>
              <w:t> </w:t>
            </w:r>
          </w:p>
        </w:tc>
        <w:tc>
          <w:tcPr>
            <w:tcW w:w="985" w:type="pct"/>
            <w:tcBorders>
              <w:top w:val="nil"/>
              <w:left w:val="nil"/>
              <w:bottom w:val="single" w:sz="4" w:space="0" w:color="auto"/>
              <w:right w:val="single" w:sz="4" w:space="0" w:color="auto"/>
            </w:tcBorders>
            <w:hideMark/>
          </w:tcPr>
          <w:p w14:paraId="111C3DBF" w14:textId="77777777" w:rsidR="00C422E9" w:rsidRPr="009A66BD" w:rsidRDefault="00C422E9" w:rsidP="00CF3151">
            <w:pPr>
              <w:spacing w:after="120" w:line="254" w:lineRule="auto"/>
              <w:ind w:firstLine="0"/>
              <w:contextualSpacing/>
              <w:rPr>
                <w:rFonts w:ascii="Calibri" w:eastAsia="Batang" w:hAnsi="Calibri" w:cs="Calibri"/>
                <w:color w:val="000000"/>
                <w:szCs w:val="22"/>
                <w:lang w:val="sq-AL"/>
              </w:rPr>
            </w:pPr>
            <w:r w:rsidRPr="009A66BD">
              <w:rPr>
                <w:rFonts w:ascii="Calibri" w:eastAsia="Batang" w:hAnsi="Calibri" w:cs="Calibri"/>
                <w:color w:val="000000"/>
                <w:szCs w:val="22"/>
                <w:lang w:val="sq-AL"/>
              </w:rPr>
              <w:t> </w:t>
            </w:r>
          </w:p>
        </w:tc>
        <w:tc>
          <w:tcPr>
            <w:tcW w:w="1302" w:type="pct"/>
            <w:tcBorders>
              <w:top w:val="nil"/>
              <w:left w:val="nil"/>
              <w:bottom w:val="single" w:sz="4" w:space="0" w:color="auto"/>
              <w:right w:val="single" w:sz="4" w:space="0" w:color="auto"/>
            </w:tcBorders>
            <w:hideMark/>
          </w:tcPr>
          <w:p w14:paraId="0379956B" w14:textId="77777777" w:rsidR="00C422E9" w:rsidRPr="009A66BD" w:rsidRDefault="00C422E9" w:rsidP="00CF3151">
            <w:pPr>
              <w:spacing w:after="120" w:line="254" w:lineRule="auto"/>
              <w:ind w:firstLine="0"/>
              <w:contextualSpacing/>
              <w:rPr>
                <w:rFonts w:ascii="Calibri" w:eastAsia="Batang" w:hAnsi="Calibri" w:cs="Calibri"/>
                <w:color w:val="000000"/>
                <w:szCs w:val="22"/>
                <w:lang w:val="sq-AL"/>
              </w:rPr>
            </w:pPr>
            <w:r w:rsidRPr="009A66BD">
              <w:rPr>
                <w:rFonts w:ascii="Calibri" w:eastAsia="Batang" w:hAnsi="Calibri" w:cs="Calibri"/>
                <w:color w:val="000000"/>
                <w:szCs w:val="22"/>
                <w:lang w:val="sq-AL"/>
              </w:rPr>
              <w:t> </w:t>
            </w:r>
          </w:p>
        </w:tc>
        <w:tc>
          <w:tcPr>
            <w:tcW w:w="720" w:type="pct"/>
            <w:tcBorders>
              <w:top w:val="nil"/>
              <w:left w:val="nil"/>
              <w:bottom w:val="single" w:sz="4" w:space="0" w:color="auto"/>
              <w:right w:val="single" w:sz="4" w:space="0" w:color="auto"/>
            </w:tcBorders>
            <w:hideMark/>
          </w:tcPr>
          <w:p w14:paraId="6A65D2DB" w14:textId="77777777" w:rsidR="00C422E9" w:rsidRPr="009A66BD" w:rsidRDefault="00C422E9" w:rsidP="00CF3151">
            <w:pPr>
              <w:spacing w:after="120" w:line="254" w:lineRule="auto"/>
              <w:ind w:firstLine="0"/>
              <w:contextualSpacing/>
              <w:rPr>
                <w:rFonts w:ascii="Calibri" w:eastAsia="Batang" w:hAnsi="Calibri" w:cs="Calibri"/>
                <w:color w:val="000000"/>
                <w:szCs w:val="22"/>
                <w:lang w:val="sq-AL"/>
              </w:rPr>
            </w:pPr>
            <w:r w:rsidRPr="009A66BD">
              <w:rPr>
                <w:rFonts w:ascii="Calibri" w:eastAsia="Batang" w:hAnsi="Calibri" w:cs="Calibri"/>
                <w:color w:val="000000"/>
                <w:szCs w:val="22"/>
                <w:lang w:val="sq-AL"/>
              </w:rPr>
              <w:t> </w:t>
            </w:r>
          </w:p>
        </w:tc>
        <w:tc>
          <w:tcPr>
            <w:tcW w:w="661" w:type="pct"/>
            <w:tcBorders>
              <w:top w:val="single" w:sz="4" w:space="0" w:color="auto"/>
              <w:left w:val="nil"/>
              <w:bottom w:val="single" w:sz="4" w:space="0" w:color="auto"/>
              <w:right w:val="single" w:sz="4" w:space="0" w:color="000000"/>
            </w:tcBorders>
            <w:hideMark/>
          </w:tcPr>
          <w:p w14:paraId="5F57031C" w14:textId="77777777" w:rsidR="00C422E9" w:rsidRPr="009A66BD" w:rsidRDefault="00C422E9" w:rsidP="00CF3151">
            <w:pPr>
              <w:spacing w:after="120" w:line="254" w:lineRule="auto"/>
              <w:ind w:firstLine="0"/>
              <w:contextualSpacing/>
              <w:rPr>
                <w:rFonts w:ascii="Calibri" w:eastAsia="Batang" w:hAnsi="Calibri" w:cs="Calibri"/>
                <w:color w:val="000000"/>
                <w:szCs w:val="22"/>
                <w:lang w:val="sq-AL"/>
              </w:rPr>
            </w:pPr>
            <w:r w:rsidRPr="009A66BD">
              <w:rPr>
                <w:rFonts w:ascii="Calibri" w:eastAsia="Batang" w:hAnsi="Calibri" w:cs="Calibri"/>
                <w:color w:val="000000"/>
                <w:szCs w:val="22"/>
                <w:lang w:val="sq-AL"/>
              </w:rPr>
              <w:t> </w:t>
            </w:r>
          </w:p>
        </w:tc>
      </w:tr>
    </w:tbl>
    <w:p w14:paraId="4DB739F3" w14:textId="77777777" w:rsidR="00C422E9" w:rsidRPr="009A66BD" w:rsidRDefault="00C422E9" w:rsidP="00C422E9">
      <w:pPr>
        <w:spacing w:after="120" w:line="254" w:lineRule="auto"/>
        <w:ind w:firstLine="0"/>
        <w:contextualSpacing/>
        <w:rPr>
          <w:rFonts w:ascii="Calibri" w:eastAsia="SimSun" w:hAnsi="Calibri" w:cs="Arial"/>
          <w:sz w:val="22"/>
          <w:szCs w:val="18"/>
          <w:lang w:val="sq-AL" w:eastAsia="zh-CN"/>
        </w:rPr>
      </w:pPr>
    </w:p>
    <w:p w14:paraId="09370BB4" w14:textId="56B60602" w:rsidR="00C422E9" w:rsidRPr="009A66BD" w:rsidRDefault="00AF52FC" w:rsidP="00C22A87">
      <w:pPr>
        <w:numPr>
          <w:ilvl w:val="0"/>
          <w:numId w:val="3"/>
        </w:numPr>
        <w:spacing w:after="120" w:line="254" w:lineRule="auto"/>
        <w:contextualSpacing/>
        <w:jc w:val="left"/>
        <w:rPr>
          <w:rFonts w:asciiTheme="minorHAnsi" w:hAnsiTheme="minorHAnsi"/>
          <w:sz w:val="22"/>
          <w:lang w:val="sq-AL"/>
        </w:rPr>
      </w:pPr>
      <w:r>
        <w:rPr>
          <w:rFonts w:asciiTheme="minorHAnsi" w:eastAsia="Batang" w:hAnsiTheme="minorHAnsi" w:cstheme="minorBidi"/>
          <w:sz w:val="22"/>
          <w:szCs w:val="22"/>
          <w:u w:val="single"/>
          <w:lang w:val="sq-AL"/>
        </w:rPr>
        <w:t>Sektori</w:t>
      </w:r>
      <w:r w:rsidR="00C422E9" w:rsidRPr="009A66BD">
        <w:rPr>
          <w:rFonts w:asciiTheme="minorHAnsi" w:eastAsia="Batang" w:hAnsiTheme="minorHAnsi" w:cstheme="minorBidi"/>
          <w:sz w:val="22"/>
          <w:szCs w:val="22"/>
          <w:u w:val="single"/>
          <w:lang w:val="sq-AL"/>
        </w:rPr>
        <w:t>:</w:t>
      </w:r>
      <w:r w:rsidR="00C422E9" w:rsidRPr="009A66BD">
        <w:rPr>
          <w:rFonts w:asciiTheme="minorHAnsi" w:eastAsia="Batang" w:hAnsiTheme="minorHAnsi" w:cstheme="minorBidi"/>
          <w:sz w:val="22"/>
          <w:szCs w:val="22"/>
          <w:lang w:val="sq-AL"/>
        </w:rPr>
        <w:t xml:space="preserve"> </w:t>
      </w:r>
      <w:r w:rsidR="00C22A87" w:rsidRPr="00C22A87">
        <w:rPr>
          <w:rFonts w:asciiTheme="minorHAnsi" w:eastAsia="Batang" w:hAnsiTheme="minorHAnsi" w:cstheme="minorBidi"/>
          <w:sz w:val="22"/>
          <w:szCs w:val="22"/>
          <w:lang w:val="sq-AL"/>
        </w:rPr>
        <w:t xml:space="preserve">Sektori i ekonomisë </w:t>
      </w:r>
      <w:r w:rsidR="001F7E76">
        <w:rPr>
          <w:rFonts w:asciiTheme="minorHAnsi" w:eastAsia="Batang" w:hAnsiTheme="minorHAnsi" w:cstheme="minorBidi"/>
          <w:sz w:val="22"/>
          <w:szCs w:val="22"/>
          <w:lang w:val="sq-AL"/>
        </w:rPr>
        <w:t>p</w:t>
      </w:r>
      <w:r w:rsidR="006822F7">
        <w:rPr>
          <w:rFonts w:asciiTheme="minorHAnsi" w:eastAsia="Batang" w:hAnsiTheme="minorHAnsi" w:cstheme="minorBidi"/>
          <w:sz w:val="22"/>
          <w:szCs w:val="22"/>
          <w:lang w:val="sq-AL"/>
        </w:rPr>
        <w:t>ë</w:t>
      </w:r>
      <w:r w:rsidR="001F7E76">
        <w:rPr>
          <w:rFonts w:asciiTheme="minorHAnsi" w:eastAsia="Batang" w:hAnsiTheme="minorHAnsi" w:cstheme="minorBidi"/>
          <w:sz w:val="22"/>
          <w:szCs w:val="22"/>
          <w:lang w:val="sq-AL"/>
        </w:rPr>
        <w:t xml:space="preserve">r </w:t>
      </w:r>
      <w:r w:rsidR="00C22A87" w:rsidRPr="00C22A87">
        <w:rPr>
          <w:rFonts w:asciiTheme="minorHAnsi" w:eastAsia="Batang" w:hAnsiTheme="minorHAnsi" w:cstheme="minorBidi"/>
          <w:sz w:val="22"/>
          <w:szCs w:val="22"/>
          <w:lang w:val="sq-AL"/>
        </w:rPr>
        <w:t>të cilën zbatohet masa. Sektorët mund të klasifikohen sipas klasifikimeve ndërkombëtare, për shembull Klasifikimi Standard</w:t>
      </w:r>
      <w:r w:rsidR="001F7E76">
        <w:rPr>
          <w:rFonts w:asciiTheme="minorHAnsi" w:eastAsia="Batang" w:hAnsiTheme="minorHAnsi" w:cstheme="minorBidi"/>
          <w:sz w:val="22"/>
          <w:szCs w:val="22"/>
          <w:lang w:val="sq-AL"/>
        </w:rPr>
        <w:t xml:space="preserve"> Nd</w:t>
      </w:r>
      <w:r w:rsidR="006822F7">
        <w:rPr>
          <w:rFonts w:asciiTheme="minorHAnsi" w:eastAsia="Batang" w:hAnsiTheme="minorHAnsi" w:cstheme="minorBidi"/>
          <w:sz w:val="22"/>
          <w:szCs w:val="22"/>
          <w:lang w:val="sq-AL"/>
        </w:rPr>
        <w:t>ë</w:t>
      </w:r>
      <w:r w:rsidR="001F7E76">
        <w:rPr>
          <w:rFonts w:asciiTheme="minorHAnsi" w:eastAsia="Batang" w:hAnsiTheme="minorHAnsi" w:cstheme="minorBidi"/>
          <w:sz w:val="22"/>
          <w:szCs w:val="22"/>
          <w:lang w:val="sq-AL"/>
        </w:rPr>
        <w:t>rkomb</w:t>
      </w:r>
      <w:r w:rsidR="006822F7">
        <w:rPr>
          <w:rFonts w:asciiTheme="minorHAnsi" w:eastAsia="Batang" w:hAnsiTheme="minorHAnsi" w:cstheme="minorBidi"/>
          <w:sz w:val="22"/>
          <w:szCs w:val="22"/>
          <w:lang w:val="sq-AL"/>
        </w:rPr>
        <w:t>ë</w:t>
      </w:r>
      <w:r w:rsidR="001F7E76">
        <w:rPr>
          <w:rFonts w:asciiTheme="minorHAnsi" w:eastAsia="Batang" w:hAnsiTheme="minorHAnsi" w:cstheme="minorBidi"/>
          <w:sz w:val="22"/>
          <w:szCs w:val="22"/>
          <w:lang w:val="sq-AL"/>
        </w:rPr>
        <w:t xml:space="preserve">tar </w:t>
      </w:r>
      <w:r w:rsidR="00C22A87" w:rsidRPr="00C22A87">
        <w:rPr>
          <w:rFonts w:asciiTheme="minorHAnsi" w:eastAsia="Batang" w:hAnsiTheme="minorHAnsi" w:cstheme="minorBidi"/>
          <w:sz w:val="22"/>
          <w:szCs w:val="22"/>
          <w:lang w:val="sq-AL"/>
        </w:rPr>
        <w:t>Industrial</w:t>
      </w:r>
      <w:r w:rsidR="001F7E76">
        <w:rPr>
          <w:rFonts w:asciiTheme="minorHAnsi" w:eastAsia="Batang" w:hAnsiTheme="minorHAnsi" w:cstheme="minorBidi"/>
          <w:sz w:val="22"/>
          <w:szCs w:val="22"/>
          <w:lang w:val="sq-AL"/>
        </w:rPr>
        <w:t xml:space="preserve"> </w:t>
      </w:r>
      <w:r w:rsidR="00C22A87" w:rsidRPr="00C22A87">
        <w:rPr>
          <w:rFonts w:asciiTheme="minorHAnsi" w:eastAsia="Batang" w:hAnsiTheme="minorHAnsi" w:cstheme="minorBidi"/>
          <w:sz w:val="22"/>
          <w:szCs w:val="22"/>
          <w:lang w:val="sq-AL"/>
        </w:rPr>
        <w:t>i të gjit</w:t>
      </w:r>
      <w:r w:rsidR="00C22A87">
        <w:rPr>
          <w:rFonts w:asciiTheme="minorHAnsi" w:eastAsia="Batang" w:hAnsiTheme="minorHAnsi" w:cstheme="minorBidi"/>
          <w:sz w:val="22"/>
          <w:szCs w:val="22"/>
          <w:lang w:val="sq-AL"/>
        </w:rPr>
        <w:t>ha Aktiviteteve Ekonomike (ISIC</w:t>
      </w:r>
      <w:r w:rsidR="00C422E9" w:rsidRPr="009A66BD">
        <w:rPr>
          <w:rFonts w:asciiTheme="minorHAnsi" w:eastAsia="Batang" w:hAnsiTheme="minorHAnsi" w:cstheme="minorBidi"/>
          <w:sz w:val="22"/>
          <w:szCs w:val="22"/>
          <w:lang w:val="sq-AL"/>
        </w:rPr>
        <w:t>)</w:t>
      </w:r>
      <w:r w:rsidR="00C422E9" w:rsidRPr="009A66BD">
        <w:rPr>
          <w:rFonts w:asciiTheme="minorHAnsi" w:eastAsia="Batang" w:hAnsiTheme="minorHAnsi" w:cstheme="minorBidi"/>
          <w:sz w:val="22"/>
          <w:szCs w:val="22"/>
          <w:vertAlign w:val="superscript"/>
          <w:lang w:val="sq-AL"/>
        </w:rPr>
        <w:footnoteReference w:id="17"/>
      </w:r>
      <w:r w:rsidR="00C422E9" w:rsidRPr="009A66BD">
        <w:rPr>
          <w:rFonts w:asciiTheme="minorHAnsi" w:eastAsia="Batang" w:hAnsiTheme="minorHAnsi" w:cstheme="minorBidi"/>
          <w:sz w:val="22"/>
          <w:szCs w:val="22"/>
          <w:lang w:val="sq-AL"/>
        </w:rPr>
        <w:t xml:space="preserve">, </w:t>
      </w:r>
      <w:r w:rsidR="00C22A87" w:rsidRPr="00C22A87">
        <w:rPr>
          <w:rFonts w:asciiTheme="minorHAnsi" w:eastAsia="Batang" w:hAnsiTheme="minorHAnsi" w:cstheme="minorBidi"/>
          <w:sz w:val="22"/>
          <w:szCs w:val="22"/>
          <w:lang w:val="sq-AL"/>
        </w:rPr>
        <w:t>ose sipas një klasifikimi kombëtar</w:t>
      </w:r>
      <w:r w:rsidR="00C422E9" w:rsidRPr="009A66BD">
        <w:rPr>
          <w:rFonts w:asciiTheme="minorHAnsi" w:eastAsia="Batang" w:hAnsiTheme="minorHAnsi" w:cstheme="minorBidi"/>
          <w:sz w:val="22"/>
          <w:szCs w:val="22"/>
          <w:lang w:val="sq-AL"/>
        </w:rPr>
        <w:t>;</w:t>
      </w:r>
    </w:p>
    <w:p w14:paraId="1FC8A580" w14:textId="6912E745" w:rsidR="00C422E9" w:rsidRPr="009A66BD" w:rsidRDefault="00AF52FC" w:rsidP="000C5582">
      <w:pPr>
        <w:numPr>
          <w:ilvl w:val="0"/>
          <w:numId w:val="3"/>
        </w:numPr>
        <w:spacing w:after="120" w:line="254" w:lineRule="auto"/>
        <w:contextualSpacing/>
        <w:jc w:val="left"/>
        <w:rPr>
          <w:rFonts w:asciiTheme="minorHAnsi" w:eastAsia="Batang" w:hAnsiTheme="minorHAnsi" w:cstheme="minorBidi"/>
          <w:sz w:val="22"/>
          <w:szCs w:val="22"/>
          <w:lang w:val="sq-AL"/>
        </w:rPr>
      </w:pPr>
      <w:r w:rsidRPr="00AF52FC">
        <w:rPr>
          <w:rFonts w:asciiTheme="minorHAnsi" w:eastAsia="Batang" w:hAnsiTheme="minorHAnsi" w:cstheme="minorBidi"/>
          <w:sz w:val="22"/>
          <w:szCs w:val="22"/>
          <w:u w:val="single"/>
          <w:lang w:val="sq-AL"/>
        </w:rPr>
        <w:t>Parime</w:t>
      </w:r>
      <w:r w:rsidR="001F7E76">
        <w:rPr>
          <w:rFonts w:asciiTheme="minorHAnsi" w:eastAsia="Batang" w:hAnsiTheme="minorHAnsi" w:cstheme="minorBidi"/>
          <w:sz w:val="22"/>
          <w:szCs w:val="22"/>
          <w:u w:val="single"/>
          <w:lang w:val="sq-AL"/>
        </w:rPr>
        <w:t>t e prekura</w:t>
      </w:r>
      <w:r w:rsidR="00C422E9" w:rsidRPr="009A66BD">
        <w:rPr>
          <w:rFonts w:asciiTheme="minorHAnsi" w:eastAsia="Batang" w:hAnsiTheme="minorHAnsi" w:cstheme="minorBidi"/>
          <w:sz w:val="22"/>
          <w:szCs w:val="22"/>
          <w:u w:val="single"/>
          <w:lang w:val="sq-AL"/>
        </w:rPr>
        <w:t>:</w:t>
      </w:r>
      <w:r w:rsidR="00C422E9" w:rsidRPr="009A66BD">
        <w:rPr>
          <w:rFonts w:asciiTheme="minorHAnsi" w:eastAsia="Batang" w:hAnsiTheme="minorHAnsi" w:cstheme="minorBidi"/>
          <w:sz w:val="22"/>
          <w:szCs w:val="22"/>
          <w:lang w:val="sq-AL"/>
        </w:rPr>
        <w:t xml:space="preserve"> </w:t>
      </w:r>
      <w:r w:rsidR="000C5582" w:rsidRPr="000C5582">
        <w:rPr>
          <w:rFonts w:asciiTheme="minorHAnsi" w:eastAsia="Batang" w:hAnsiTheme="minorHAnsi" w:cstheme="minorBidi"/>
          <w:sz w:val="22"/>
          <w:szCs w:val="22"/>
          <w:lang w:val="sq-AL"/>
        </w:rPr>
        <w:t xml:space="preserve">Parimi (et) që është / janë </w:t>
      </w:r>
      <w:r w:rsidR="001F7E76">
        <w:rPr>
          <w:rFonts w:asciiTheme="minorHAnsi" w:eastAsia="Batang" w:hAnsiTheme="minorHAnsi" w:cstheme="minorBidi"/>
          <w:sz w:val="22"/>
          <w:szCs w:val="22"/>
          <w:lang w:val="sq-AL"/>
        </w:rPr>
        <w:t>mospërputhjes/</w:t>
      </w:r>
      <w:proofErr w:type="spellStart"/>
      <w:r w:rsidR="001F7E76">
        <w:rPr>
          <w:rFonts w:asciiTheme="minorHAnsi" w:eastAsia="Batang" w:hAnsiTheme="minorHAnsi" w:cstheme="minorBidi"/>
          <w:sz w:val="22"/>
          <w:szCs w:val="22"/>
          <w:lang w:val="sq-AL"/>
        </w:rPr>
        <w:t>jokompatibil</w:t>
      </w:r>
      <w:proofErr w:type="spellEnd"/>
      <w:r w:rsidR="000C5582" w:rsidRPr="000C5582">
        <w:rPr>
          <w:rFonts w:asciiTheme="minorHAnsi" w:eastAsia="Batang" w:hAnsiTheme="minorHAnsi" w:cstheme="minorBidi"/>
          <w:sz w:val="22"/>
          <w:szCs w:val="22"/>
          <w:lang w:val="sq-AL"/>
        </w:rPr>
        <w:t xml:space="preserve"> me masën e përfshirë në listë</w:t>
      </w:r>
      <w:r w:rsidR="00C422E9" w:rsidRPr="009A66BD">
        <w:rPr>
          <w:rFonts w:asciiTheme="minorHAnsi" w:eastAsia="Batang" w:hAnsiTheme="minorHAnsi" w:cstheme="minorBidi"/>
          <w:sz w:val="22"/>
          <w:szCs w:val="22"/>
          <w:lang w:val="sq-AL"/>
        </w:rPr>
        <w:t>;</w:t>
      </w:r>
    </w:p>
    <w:p w14:paraId="6F81E04F" w14:textId="027C034E" w:rsidR="00C422E9" w:rsidRPr="009A66BD" w:rsidRDefault="00AF52FC" w:rsidP="008C44F3">
      <w:pPr>
        <w:numPr>
          <w:ilvl w:val="0"/>
          <w:numId w:val="3"/>
        </w:numPr>
        <w:spacing w:after="120" w:line="254" w:lineRule="auto"/>
        <w:contextualSpacing/>
        <w:jc w:val="left"/>
        <w:rPr>
          <w:rFonts w:asciiTheme="minorHAnsi" w:eastAsia="Batang" w:hAnsiTheme="minorHAnsi" w:cstheme="minorBidi"/>
          <w:sz w:val="22"/>
          <w:szCs w:val="22"/>
          <w:lang w:val="sq-AL"/>
        </w:rPr>
      </w:pPr>
      <w:r w:rsidRPr="00AF52FC">
        <w:rPr>
          <w:rFonts w:asciiTheme="minorHAnsi" w:eastAsia="Batang" w:hAnsiTheme="minorHAnsi" w:cstheme="minorBidi"/>
          <w:sz w:val="22"/>
          <w:szCs w:val="22"/>
          <w:u w:val="single"/>
          <w:lang w:val="sq-AL"/>
        </w:rPr>
        <w:t>Konflikti me të drejtën e BE-së</w:t>
      </w:r>
      <w:r w:rsidR="00C422E9" w:rsidRPr="009A66BD">
        <w:rPr>
          <w:rFonts w:asciiTheme="minorHAnsi" w:eastAsia="Batang" w:hAnsiTheme="minorHAnsi" w:cstheme="minorBidi"/>
          <w:sz w:val="22"/>
          <w:szCs w:val="22"/>
          <w:u w:val="single"/>
          <w:lang w:val="sq-AL"/>
        </w:rPr>
        <w:t>:</w:t>
      </w:r>
      <w:r w:rsidR="00C422E9" w:rsidRPr="009A66BD">
        <w:rPr>
          <w:rFonts w:asciiTheme="minorHAnsi" w:eastAsia="Batang" w:hAnsiTheme="minorHAnsi" w:cstheme="minorBidi"/>
          <w:sz w:val="22"/>
          <w:szCs w:val="22"/>
          <w:lang w:val="sq-AL"/>
        </w:rPr>
        <w:t xml:space="preserve"> </w:t>
      </w:r>
      <w:r w:rsidR="008C44F3" w:rsidRPr="008C44F3">
        <w:rPr>
          <w:rFonts w:asciiTheme="minorHAnsi" w:eastAsia="Batang" w:hAnsiTheme="minorHAnsi" w:cstheme="minorBidi"/>
          <w:sz w:val="22"/>
          <w:szCs w:val="22"/>
          <w:lang w:val="sq-AL"/>
        </w:rPr>
        <w:t>Konflikti specifik me të drejtën e themelimit sipas së drejtës së BE-së</w:t>
      </w:r>
      <w:r w:rsidR="00C422E9" w:rsidRPr="009A66BD">
        <w:rPr>
          <w:rFonts w:asciiTheme="minorHAnsi" w:eastAsia="Batang" w:hAnsiTheme="minorHAnsi" w:cstheme="minorBidi"/>
          <w:sz w:val="22"/>
          <w:szCs w:val="22"/>
          <w:lang w:val="sq-AL"/>
        </w:rPr>
        <w:t>;</w:t>
      </w:r>
    </w:p>
    <w:p w14:paraId="64873B78" w14:textId="2DDAE9B4" w:rsidR="00C422E9" w:rsidRPr="009A66BD" w:rsidRDefault="00B362E1" w:rsidP="008C44F3">
      <w:pPr>
        <w:numPr>
          <w:ilvl w:val="0"/>
          <w:numId w:val="3"/>
        </w:numPr>
        <w:spacing w:after="120" w:line="254" w:lineRule="auto"/>
        <w:contextualSpacing/>
        <w:jc w:val="left"/>
        <w:rPr>
          <w:rFonts w:asciiTheme="minorHAnsi" w:eastAsia="Batang" w:hAnsiTheme="minorHAnsi" w:cstheme="minorBidi"/>
          <w:sz w:val="22"/>
          <w:szCs w:val="22"/>
          <w:lang w:val="sq-AL"/>
        </w:rPr>
      </w:pPr>
      <w:r>
        <w:rPr>
          <w:rFonts w:asciiTheme="minorHAnsi" w:eastAsia="Batang" w:hAnsiTheme="minorHAnsi" w:cstheme="minorBidi"/>
          <w:sz w:val="22"/>
          <w:szCs w:val="22"/>
          <w:u w:val="single"/>
          <w:lang w:val="sq-AL"/>
        </w:rPr>
        <w:t>Masa</w:t>
      </w:r>
      <w:r w:rsidR="00C422E9" w:rsidRPr="009A66BD">
        <w:rPr>
          <w:rFonts w:asciiTheme="minorHAnsi" w:eastAsia="Batang" w:hAnsiTheme="minorHAnsi" w:cstheme="minorBidi"/>
          <w:sz w:val="22"/>
          <w:szCs w:val="22"/>
          <w:u w:val="single"/>
          <w:lang w:val="sq-AL"/>
        </w:rPr>
        <w:t>:</w:t>
      </w:r>
      <w:r w:rsidR="00C422E9" w:rsidRPr="009A66BD">
        <w:rPr>
          <w:rFonts w:asciiTheme="minorHAnsi" w:eastAsia="Batang" w:hAnsiTheme="minorHAnsi" w:cstheme="minorBidi"/>
          <w:sz w:val="22"/>
          <w:szCs w:val="22"/>
          <w:lang w:val="sq-AL"/>
        </w:rPr>
        <w:t xml:space="preserve"> </w:t>
      </w:r>
      <w:r w:rsidR="008C44F3" w:rsidRPr="008C44F3">
        <w:rPr>
          <w:rFonts w:asciiTheme="minorHAnsi" w:eastAsia="Batang" w:hAnsiTheme="minorHAnsi" w:cstheme="minorBidi"/>
          <w:sz w:val="22"/>
          <w:szCs w:val="22"/>
          <w:lang w:val="sq-AL"/>
        </w:rPr>
        <w:t xml:space="preserve">Ligji ose rregullorja që është ose mund të jetë </w:t>
      </w:r>
      <w:proofErr w:type="spellStart"/>
      <w:r w:rsidR="001F7E76">
        <w:rPr>
          <w:rFonts w:asciiTheme="minorHAnsi" w:eastAsia="Batang" w:hAnsiTheme="minorHAnsi" w:cstheme="minorBidi"/>
          <w:sz w:val="22"/>
          <w:szCs w:val="22"/>
          <w:lang w:val="sq-AL"/>
        </w:rPr>
        <w:t>jokompatibile</w:t>
      </w:r>
      <w:proofErr w:type="spellEnd"/>
      <w:r w:rsidR="001F7E76">
        <w:rPr>
          <w:rFonts w:asciiTheme="minorHAnsi" w:eastAsia="Batang" w:hAnsiTheme="minorHAnsi" w:cstheme="minorBidi"/>
          <w:sz w:val="22"/>
          <w:szCs w:val="22"/>
          <w:lang w:val="sq-AL"/>
        </w:rPr>
        <w:t xml:space="preserve"> </w:t>
      </w:r>
      <w:r w:rsidR="008C44F3" w:rsidRPr="008C44F3">
        <w:rPr>
          <w:rFonts w:asciiTheme="minorHAnsi" w:eastAsia="Batang" w:hAnsiTheme="minorHAnsi" w:cstheme="minorBidi"/>
          <w:sz w:val="22"/>
          <w:szCs w:val="22"/>
          <w:lang w:val="sq-AL"/>
        </w:rPr>
        <w:t>me parim</w:t>
      </w:r>
      <w:r w:rsidR="001F7E76">
        <w:rPr>
          <w:rFonts w:asciiTheme="minorHAnsi" w:eastAsia="Batang" w:hAnsiTheme="minorHAnsi" w:cstheme="minorBidi"/>
          <w:sz w:val="22"/>
          <w:szCs w:val="22"/>
          <w:lang w:val="sq-AL"/>
        </w:rPr>
        <w:t>in (</w:t>
      </w:r>
      <w:r w:rsidR="008C44F3" w:rsidRPr="008C44F3">
        <w:rPr>
          <w:rFonts w:asciiTheme="minorHAnsi" w:eastAsia="Batang" w:hAnsiTheme="minorHAnsi" w:cstheme="minorBidi"/>
          <w:sz w:val="22"/>
          <w:szCs w:val="22"/>
          <w:lang w:val="sq-AL"/>
        </w:rPr>
        <w:t>et</w:t>
      </w:r>
      <w:r w:rsidR="001F7E76">
        <w:rPr>
          <w:rFonts w:asciiTheme="minorHAnsi" w:eastAsia="Batang" w:hAnsiTheme="minorHAnsi" w:cstheme="minorBidi"/>
          <w:sz w:val="22"/>
          <w:szCs w:val="22"/>
          <w:lang w:val="sq-AL"/>
        </w:rPr>
        <w:t>)</w:t>
      </w:r>
      <w:r w:rsidR="008C44F3" w:rsidRPr="008C44F3">
        <w:rPr>
          <w:rFonts w:asciiTheme="minorHAnsi" w:eastAsia="Batang" w:hAnsiTheme="minorHAnsi" w:cstheme="minorBidi"/>
          <w:sz w:val="22"/>
          <w:szCs w:val="22"/>
          <w:lang w:val="sq-AL"/>
        </w:rPr>
        <w:t xml:space="preserve"> </w:t>
      </w:r>
      <w:r w:rsidR="001F7E76">
        <w:rPr>
          <w:rFonts w:asciiTheme="minorHAnsi" w:eastAsia="Batang" w:hAnsiTheme="minorHAnsi" w:cstheme="minorBidi"/>
          <w:sz w:val="22"/>
          <w:szCs w:val="22"/>
          <w:lang w:val="sq-AL"/>
        </w:rPr>
        <w:t>dhe/</w:t>
      </w:r>
      <w:r w:rsidR="008C44F3" w:rsidRPr="008C44F3">
        <w:rPr>
          <w:rFonts w:asciiTheme="minorHAnsi" w:eastAsia="Batang" w:hAnsiTheme="minorHAnsi" w:cstheme="minorBidi"/>
          <w:sz w:val="22"/>
          <w:szCs w:val="22"/>
          <w:lang w:val="sq-AL"/>
        </w:rPr>
        <w:t xml:space="preserve">ose </w:t>
      </w:r>
      <w:r w:rsidR="001F7E76">
        <w:rPr>
          <w:rFonts w:asciiTheme="minorHAnsi" w:eastAsia="Batang" w:hAnsiTheme="minorHAnsi" w:cstheme="minorBidi"/>
          <w:sz w:val="22"/>
          <w:szCs w:val="22"/>
          <w:lang w:val="sq-AL"/>
        </w:rPr>
        <w:t xml:space="preserve">ligjin </w:t>
      </w:r>
      <w:r w:rsidR="008C44F3" w:rsidRPr="008C44F3">
        <w:rPr>
          <w:rFonts w:asciiTheme="minorHAnsi" w:eastAsia="Batang" w:hAnsiTheme="minorHAnsi" w:cstheme="minorBidi"/>
          <w:sz w:val="22"/>
          <w:szCs w:val="22"/>
          <w:lang w:val="sq-AL"/>
        </w:rPr>
        <w:t xml:space="preserve"> specifike të BE-së</w:t>
      </w:r>
      <w:r w:rsidR="00C422E9" w:rsidRPr="009A66BD">
        <w:rPr>
          <w:rFonts w:asciiTheme="minorHAnsi" w:eastAsia="Batang" w:hAnsiTheme="minorHAnsi" w:cstheme="minorBidi"/>
          <w:sz w:val="22"/>
          <w:szCs w:val="22"/>
          <w:lang w:val="sq-AL"/>
        </w:rPr>
        <w:t>;</w:t>
      </w:r>
    </w:p>
    <w:p w14:paraId="330165B4" w14:textId="56C5EF3D" w:rsidR="00C422E9" w:rsidRPr="009A66BD" w:rsidRDefault="00B362E1" w:rsidP="009202AF">
      <w:pPr>
        <w:numPr>
          <w:ilvl w:val="0"/>
          <w:numId w:val="3"/>
        </w:numPr>
        <w:spacing w:after="120" w:line="254" w:lineRule="auto"/>
        <w:jc w:val="left"/>
        <w:rPr>
          <w:rFonts w:asciiTheme="minorHAnsi" w:eastAsia="Batang" w:hAnsiTheme="minorHAnsi" w:cstheme="minorBidi"/>
          <w:sz w:val="22"/>
          <w:szCs w:val="22"/>
          <w:lang w:val="sq-AL"/>
        </w:rPr>
      </w:pPr>
      <w:r>
        <w:rPr>
          <w:rFonts w:asciiTheme="minorHAnsi" w:eastAsia="Batang" w:hAnsiTheme="minorHAnsi" w:cstheme="minorBidi"/>
          <w:sz w:val="22"/>
          <w:szCs w:val="22"/>
          <w:u w:val="single"/>
          <w:lang w:val="sq-AL"/>
        </w:rPr>
        <w:t>Përshkrimi</w:t>
      </w:r>
      <w:r w:rsidR="00C422E9" w:rsidRPr="009A66BD">
        <w:rPr>
          <w:rFonts w:asciiTheme="minorHAnsi" w:eastAsia="Batang" w:hAnsiTheme="minorHAnsi" w:cstheme="minorBidi"/>
          <w:sz w:val="22"/>
          <w:szCs w:val="22"/>
          <w:u w:val="single"/>
          <w:lang w:val="sq-AL"/>
        </w:rPr>
        <w:t>:</w:t>
      </w:r>
      <w:r w:rsidR="00C422E9" w:rsidRPr="009A66BD">
        <w:rPr>
          <w:rFonts w:asciiTheme="minorHAnsi" w:eastAsia="Batang" w:hAnsiTheme="minorHAnsi" w:cstheme="minorBidi"/>
          <w:sz w:val="22"/>
          <w:szCs w:val="22"/>
          <w:lang w:val="sq-AL"/>
        </w:rPr>
        <w:t xml:space="preserve"> </w:t>
      </w:r>
      <w:r w:rsidR="009202AF" w:rsidRPr="009202AF">
        <w:rPr>
          <w:rFonts w:asciiTheme="minorHAnsi" w:eastAsia="Batang" w:hAnsiTheme="minorHAnsi" w:cstheme="minorBidi"/>
          <w:sz w:val="22"/>
          <w:szCs w:val="22"/>
          <w:lang w:val="sq-AL"/>
        </w:rPr>
        <w:t xml:space="preserve">Një shpjegim </w:t>
      </w:r>
      <w:r w:rsidR="001F7E76">
        <w:rPr>
          <w:rFonts w:asciiTheme="minorHAnsi" w:eastAsia="Batang" w:hAnsiTheme="minorHAnsi" w:cstheme="minorBidi"/>
          <w:sz w:val="22"/>
          <w:szCs w:val="22"/>
          <w:lang w:val="sq-AL"/>
        </w:rPr>
        <w:t>mbi at</w:t>
      </w:r>
      <w:r w:rsidR="006822F7">
        <w:rPr>
          <w:rFonts w:asciiTheme="minorHAnsi" w:eastAsia="Batang" w:hAnsiTheme="minorHAnsi" w:cstheme="minorBidi"/>
          <w:sz w:val="22"/>
          <w:szCs w:val="22"/>
          <w:lang w:val="sq-AL"/>
        </w:rPr>
        <w:t>ë</w:t>
      </w:r>
      <w:r w:rsidR="001F7E76">
        <w:rPr>
          <w:rFonts w:asciiTheme="minorHAnsi" w:eastAsia="Batang" w:hAnsiTheme="minorHAnsi" w:cstheme="minorBidi"/>
          <w:sz w:val="22"/>
          <w:szCs w:val="22"/>
          <w:lang w:val="sq-AL"/>
        </w:rPr>
        <w:t xml:space="preserve"> se </w:t>
      </w:r>
      <w:r w:rsidR="009202AF" w:rsidRPr="009202AF">
        <w:rPr>
          <w:rFonts w:asciiTheme="minorHAnsi" w:eastAsia="Batang" w:hAnsiTheme="minorHAnsi" w:cstheme="minorBidi"/>
          <w:sz w:val="22"/>
          <w:szCs w:val="22"/>
          <w:lang w:val="sq-AL"/>
        </w:rPr>
        <w:t xml:space="preserve">përse masa e renditur është e </w:t>
      </w:r>
      <w:proofErr w:type="spellStart"/>
      <w:r w:rsidR="009202AF" w:rsidRPr="009202AF">
        <w:rPr>
          <w:rFonts w:asciiTheme="minorHAnsi" w:eastAsia="Batang" w:hAnsiTheme="minorHAnsi" w:cstheme="minorBidi"/>
          <w:sz w:val="22"/>
          <w:szCs w:val="22"/>
          <w:lang w:val="sq-AL"/>
        </w:rPr>
        <w:t>mospërputhëse</w:t>
      </w:r>
      <w:proofErr w:type="spellEnd"/>
      <w:r w:rsidR="001F7E76">
        <w:rPr>
          <w:rFonts w:asciiTheme="minorHAnsi" w:eastAsia="Batang" w:hAnsiTheme="minorHAnsi" w:cstheme="minorBidi"/>
          <w:sz w:val="22"/>
          <w:szCs w:val="22"/>
          <w:lang w:val="sq-AL"/>
        </w:rPr>
        <w:t>/</w:t>
      </w:r>
      <w:proofErr w:type="spellStart"/>
      <w:r w:rsidR="001F7E76">
        <w:rPr>
          <w:rFonts w:asciiTheme="minorHAnsi" w:eastAsia="Batang" w:hAnsiTheme="minorHAnsi" w:cstheme="minorBidi"/>
          <w:sz w:val="22"/>
          <w:szCs w:val="22"/>
          <w:lang w:val="sq-AL"/>
        </w:rPr>
        <w:t>jokompatibile</w:t>
      </w:r>
      <w:proofErr w:type="spellEnd"/>
      <w:r w:rsidR="009202AF" w:rsidRPr="009202AF">
        <w:rPr>
          <w:rFonts w:asciiTheme="minorHAnsi" w:eastAsia="Batang" w:hAnsiTheme="minorHAnsi" w:cstheme="minorBidi"/>
          <w:sz w:val="22"/>
          <w:szCs w:val="22"/>
          <w:lang w:val="sq-AL"/>
        </w:rPr>
        <w:t xml:space="preserve"> me parimin</w:t>
      </w:r>
      <w:r w:rsidR="00C422E9" w:rsidRPr="009A66BD">
        <w:rPr>
          <w:rFonts w:asciiTheme="minorHAnsi" w:eastAsia="Batang" w:hAnsiTheme="minorHAnsi" w:cstheme="minorBidi"/>
          <w:sz w:val="22"/>
          <w:szCs w:val="22"/>
          <w:lang w:val="sq-AL"/>
        </w:rPr>
        <w:t>.</w:t>
      </w:r>
    </w:p>
    <w:p w14:paraId="57A76E93" w14:textId="4C685E57" w:rsidR="00C422E9" w:rsidRPr="009A66BD" w:rsidRDefault="00E75F8D" w:rsidP="00C422E9">
      <w:pPr>
        <w:spacing w:after="120" w:line="254" w:lineRule="auto"/>
        <w:ind w:firstLine="0"/>
        <w:contextualSpacing/>
        <w:rPr>
          <w:rFonts w:asciiTheme="minorHAnsi" w:eastAsia="Batang" w:hAnsiTheme="minorHAnsi" w:cstheme="minorBidi"/>
          <w:sz w:val="22"/>
          <w:szCs w:val="22"/>
          <w:lang w:val="sq-AL"/>
        </w:rPr>
      </w:pPr>
      <w:r w:rsidRPr="00E75F8D">
        <w:rPr>
          <w:rFonts w:asciiTheme="minorHAnsi" w:eastAsia="Batang" w:hAnsiTheme="minorHAnsi" w:cstheme="minorBidi"/>
          <w:sz w:val="22"/>
          <w:szCs w:val="22"/>
          <w:lang w:val="sq-AL"/>
        </w:rPr>
        <w:t xml:space="preserve">Rezultati që merr formën e një faqeje të Excel-it do të lejonte përdorimin e funksioneve të </w:t>
      </w:r>
      <w:proofErr w:type="spellStart"/>
      <w:r w:rsidR="001F7E76">
        <w:rPr>
          <w:rFonts w:asciiTheme="minorHAnsi" w:eastAsia="Batang" w:hAnsiTheme="minorHAnsi" w:cstheme="minorBidi"/>
          <w:sz w:val="22"/>
          <w:szCs w:val="22"/>
          <w:lang w:val="sq-AL"/>
        </w:rPr>
        <w:t>sortimit</w:t>
      </w:r>
      <w:proofErr w:type="spellEnd"/>
      <w:r w:rsidR="001F7E76">
        <w:rPr>
          <w:rFonts w:asciiTheme="minorHAnsi" w:eastAsia="Batang" w:hAnsiTheme="minorHAnsi" w:cstheme="minorBidi"/>
          <w:sz w:val="22"/>
          <w:szCs w:val="22"/>
          <w:lang w:val="sq-AL"/>
        </w:rPr>
        <w:t xml:space="preserve"> </w:t>
      </w:r>
      <w:r w:rsidRPr="00E75F8D">
        <w:rPr>
          <w:rFonts w:asciiTheme="minorHAnsi" w:eastAsia="Batang" w:hAnsiTheme="minorHAnsi" w:cstheme="minorBidi"/>
          <w:sz w:val="22"/>
          <w:szCs w:val="22"/>
          <w:lang w:val="sq-AL"/>
        </w:rPr>
        <w:t xml:space="preserve"> ose filtrimit dhe në këtë mënyrë të lehtësonte përdorimin e tij për qëllime të ndryshme, të tilla si krijimi i një skeme </w:t>
      </w:r>
      <w:r w:rsidR="001F7E76">
        <w:rPr>
          <w:rFonts w:asciiTheme="minorHAnsi" w:eastAsia="Batang" w:hAnsiTheme="minorHAnsi" w:cstheme="minorBidi"/>
          <w:sz w:val="22"/>
          <w:szCs w:val="22"/>
          <w:lang w:val="sq-AL"/>
        </w:rPr>
        <w:t>NCM</w:t>
      </w:r>
      <w:r w:rsidRPr="00E75F8D">
        <w:rPr>
          <w:rFonts w:asciiTheme="minorHAnsi" w:eastAsia="Batang" w:hAnsiTheme="minorHAnsi" w:cstheme="minorBidi"/>
          <w:sz w:val="22"/>
          <w:szCs w:val="22"/>
          <w:lang w:val="sq-AL"/>
        </w:rPr>
        <w:t xml:space="preserve"> për një MNI-ve, harmonizimi</w:t>
      </w:r>
      <w:r w:rsidR="001F7E76">
        <w:rPr>
          <w:rFonts w:asciiTheme="minorHAnsi" w:eastAsia="Batang" w:hAnsiTheme="minorHAnsi" w:cstheme="minorBidi"/>
          <w:sz w:val="22"/>
          <w:szCs w:val="22"/>
          <w:lang w:val="sq-AL"/>
        </w:rPr>
        <w:t>n</w:t>
      </w:r>
      <w:r w:rsidRPr="00E75F8D">
        <w:rPr>
          <w:rFonts w:asciiTheme="minorHAnsi" w:eastAsia="Batang" w:hAnsiTheme="minorHAnsi" w:cstheme="minorBidi"/>
          <w:sz w:val="22"/>
          <w:szCs w:val="22"/>
          <w:lang w:val="sq-AL"/>
        </w:rPr>
        <w:t xml:space="preserve"> </w:t>
      </w:r>
      <w:r w:rsidR="001F7E76">
        <w:rPr>
          <w:rFonts w:asciiTheme="minorHAnsi" w:eastAsia="Batang" w:hAnsiTheme="minorHAnsi" w:cstheme="minorBidi"/>
          <w:sz w:val="22"/>
          <w:szCs w:val="22"/>
          <w:lang w:val="sq-AL"/>
        </w:rPr>
        <w:t xml:space="preserve">me </w:t>
      </w:r>
      <w:proofErr w:type="spellStart"/>
      <w:r w:rsidRPr="00E75F8D">
        <w:rPr>
          <w:rFonts w:asciiTheme="minorHAnsi" w:eastAsia="Batang" w:hAnsiTheme="minorHAnsi" w:cstheme="minorBidi"/>
          <w:sz w:val="22"/>
          <w:szCs w:val="22"/>
          <w:lang w:val="sq-AL"/>
        </w:rPr>
        <w:t>Acquis</w:t>
      </w:r>
      <w:proofErr w:type="spellEnd"/>
      <w:r w:rsidRPr="00E75F8D">
        <w:rPr>
          <w:rFonts w:asciiTheme="minorHAnsi" w:eastAsia="Batang" w:hAnsiTheme="minorHAnsi" w:cstheme="minorBidi"/>
          <w:sz w:val="22"/>
          <w:szCs w:val="22"/>
          <w:lang w:val="sq-AL"/>
        </w:rPr>
        <w:t xml:space="preserve"> </w:t>
      </w:r>
      <w:proofErr w:type="spellStart"/>
      <w:r w:rsidRPr="00E75F8D">
        <w:rPr>
          <w:rFonts w:asciiTheme="minorHAnsi" w:eastAsia="Batang" w:hAnsiTheme="minorHAnsi" w:cstheme="minorBidi"/>
          <w:sz w:val="22"/>
          <w:szCs w:val="22"/>
          <w:lang w:val="sq-AL"/>
        </w:rPr>
        <w:t>communautaire</w:t>
      </w:r>
      <w:proofErr w:type="spellEnd"/>
      <w:r w:rsidRPr="00E75F8D">
        <w:rPr>
          <w:rFonts w:asciiTheme="minorHAnsi" w:eastAsia="Batang" w:hAnsiTheme="minorHAnsi" w:cstheme="minorBidi"/>
          <w:sz w:val="22"/>
          <w:szCs w:val="22"/>
          <w:lang w:val="sq-AL"/>
        </w:rPr>
        <w:t xml:space="preserve"> të BE-së ose krahasimi</w:t>
      </w:r>
      <w:r w:rsidR="001F7E76">
        <w:rPr>
          <w:rFonts w:asciiTheme="minorHAnsi" w:eastAsia="Batang" w:hAnsiTheme="minorHAnsi" w:cstheme="minorBidi"/>
          <w:sz w:val="22"/>
          <w:szCs w:val="22"/>
          <w:lang w:val="sq-AL"/>
        </w:rPr>
        <w:t xml:space="preserve">n e </w:t>
      </w:r>
      <w:r w:rsidRPr="00E75F8D">
        <w:rPr>
          <w:rFonts w:asciiTheme="minorHAnsi" w:eastAsia="Batang" w:hAnsiTheme="minorHAnsi" w:cstheme="minorBidi"/>
          <w:sz w:val="22"/>
          <w:szCs w:val="22"/>
          <w:lang w:val="sq-AL"/>
        </w:rPr>
        <w:t xml:space="preserve"> kufizimeve në sektorë </w:t>
      </w:r>
      <w:r w:rsidR="001F7E76">
        <w:rPr>
          <w:rFonts w:asciiTheme="minorHAnsi" w:eastAsia="Batang" w:hAnsiTheme="minorHAnsi" w:cstheme="minorBidi"/>
          <w:sz w:val="22"/>
          <w:szCs w:val="22"/>
          <w:lang w:val="sq-AL"/>
        </w:rPr>
        <w:t>specifik</w:t>
      </w:r>
      <w:r w:rsidR="006822F7">
        <w:rPr>
          <w:rFonts w:asciiTheme="minorHAnsi" w:eastAsia="Batang" w:hAnsiTheme="minorHAnsi" w:cstheme="minorBidi"/>
          <w:sz w:val="22"/>
          <w:szCs w:val="22"/>
          <w:lang w:val="sq-AL"/>
        </w:rPr>
        <w:t>ë</w:t>
      </w:r>
      <w:r w:rsidRPr="00E75F8D">
        <w:rPr>
          <w:rFonts w:asciiTheme="minorHAnsi" w:eastAsia="Batang" w:hAnsiTheme="minorHAnsi" w:cstheme="minorBidi"/>
          <w:sz w:val="22"/>
          <w:szCs w:val="22"/>
          <w:lang w:val="sq-AL"/>
        </w:rPr>
        <w:t xml:space="preserve"> me ekonomitë e tjera të BP6</w:t>
      </w:r>
      <w:r w:rsidR="00C422E9" w:rsidRPr="009A66BD">
        <w:rPr>
          <w:rFonts w:asciiTheme="minorHAnsi" w:eastAsia="Batang" w:hAnsiTheme="minorHAnsi" w:cstheme="minorBidi"/>
          <w:sz w:val="22"/>
          <w:szCs w:val="22"/>
          <w:lang w:val="sq-AL"/>
        </w:rPr>
        <w:t>.</w:t>
      </w:r>
    </w:p>
    <w:p w14:paraId="4D49E27B" w14:textId="77777777" w:rsidR="00C422E9" w:rsidRPr="009A66BD" w:rsidRDefault="00C422E9" w:rsidP="00C422E9">
      <w:pPr>
        <w:spacing w:after="200" w:line="276" w:lineRule="auto"/>
        <w:ind w:firstLine="0"/>
        <w:jc w:val="left"/>
        <w:rPr>
          <w:rFonts w:asciiTheme="minorHAnsi" w:hAnsiTheme="minorHAnsi"/>
          <w:sz w:val="22"/>
          <w:szCs w:val="22"/>
          <w:u w:val="single"/>
          <w:lang w:val="sq-AL"/>
        </w:rPr>
      </w:pPr>
    </w:p>
    <w:p w14:paraId="268263CC" w14:textId="60BB1DD4" w:rsidR="00C422E9" w:rsidRPr="009A66BD" w:rsidRDefault="001F7E76" w:rsidP="00C422E9">
      <w:pPr>
        <w:spacing w:after="200" w:line="276" w:lineRule="auto"/>
        <w:ind w:firstLine="0"/>
        <w:jc w:val="left"/>
        <w:rPr>
          <w:rFonts w:asciiTheme="minorHAnsi" w:hAnsiTheme="minorHAnsi"/>
          <w:sz w:val="22"/>
          <w:szCs w:val="22"/>
          <w:u w:val="single"/>
          <w:lang w:val="sq-AL"/>
        </w:rPr>
      </w:pPr>
      <w:r>
        <w:rPr>
          <w:rFonts w:asciiTheme="minorHAnsi" w:hAnsiTheme="minorHAnsi"/>
          <w:sz w:val="22"/>
          <w:szCs w:val="22"/>
          <w:u w:val="single"/>
          <w:lang w:val="sq-AL"/>
        </w:rPr>
        <w:t xml:space="preserve">Veprimi </w:t>
      </w:r>
      <w:r w:rsidR="00E75F8D">
        <w:rPr>
          <w:rFonts w:asciiTheme="minorHAnsi" w:hAnsiTheme="minorHAnsi"/>
          <w:sz w:val="22"/>
          <w:szCs w:val="22"/>
          <w:u w:val="single"/>
          <w:lang w:val="sq-AL"/>
        </w:rPr>
        <w:t xml:space="preserve">2.1.1 </w:t>
      </w:r>
      <w:r>
        <w:rPr>
          <w:rFonts w:asciiTheme="minorHAnsi" w:hAnsiTheme="minorHAnsi"/>
          <w:sz w:val="22"/>
          <w:szCs w:val="22"/>
          <w:u w:val="single"/>
          <w:lang w:val="sq-AL"/>
        </w:rPr>
        <w:t>i</w:t>
      </w:r>
      <w:r w:rsidR="00E75F8D" w:rsidRPr="00E75F8D">
        <w:rPr>
          <w:rFonts w:asciiTheme="minorHAnsi" w:hAnsiTheme="minorHAnsi"/>
          <w:sz w:val="22"/>
          <w:szCs w:val="22"/>
          <w:u w:val="single"/>
          <w:lang w:val="sq-AL"/>
        </w:rPr>
        <w:t xml:space="preserve"> PVRI-së</w:t>
      </w:r>
      <w:r w:rsidR="00C422E9" w:rsidRPr="009A66BD">
        <w:rPr>
          <w:rFonts w:asciiTheme="minorHAnsi" w:hAnsiTheme="minorHAnsi"/>
          <w:sz w:val="22"/>
          <w:szCs w:val="22"/>
          <w:u w:val="single"/>
          <w:lang w:val="sq-AL"/>
        </w:rPr>
        <w:t>.</w:t>
      </w:r>
    </w:p>
    <w:p w14:paraId="733B5E26" w14:textId="7952BA4B" w:rsidR="00C422E9" w:rsidRPr="009A66BD" w:rsidRDefault="00996B0F" w:rsidP="00C422E9">
      <w:pPr>
        <w:spacing w:after="120" w:line="240" w:lineRule="auto"/>
        <w:ind w:firstLine="0"/>
        <w:jc w:val="left"/>
        <w:rPr>
          <w:rFonts w:asciiTheme="minorHAnsi" w:eastAsiaTheme="minorEastAsia" w:hAnsiTheme="minorHAnsi" w:cstheme="minorBidi"/>
          <w:sz w:val="22"/>
          <w:szCs w:val="22"/>
          <w:lang w:val="sq-AL"/>
        </w:rPr>
      </w:pPr>
      <w:r w:rsidRPr="00996B0F">
        <w:rPr>
          <w:rFonts w:asciiTheme="minorHAnsi" w:eastAsiaTheme="minorEastAsia" w:hAnsiTheme="minorHAnsi" w:cstheme="minorBidi"/>
          <w:b/>
          <w:sz w:val="22"/>
          <w:szCs w:val="22"/>
          <w:lang w:val="sq-AL"/>
        </w:rPr>
        <w:t>Procedurat</w:t>
      </w:r>
      <w:r w:rsidRPr="00996B0F">
        <w:rPr>
          <w:rFonts w:asciiTheme="minorHAnsi" w:eastAsiaTheme="minorEastAsia" w:hAnsiTheme="minorHAnsi" w:cstheme="minorBidi"/>
          <w:sz w:val="22"/>
          <w:szCs w:val="22"/>
          <w:lang w:val="sq-AL"/>
        </w:rPr>
        <w:t xml:space="preserve"> për themelimin dhe </w:t>
      </w:r>
      <w:r w:rsidR="001F7E76">
        <w:rPr>
          <w:rFonts w:asciiTheme="minorHAnsi" w:eastAsiaTheme="minorEastAsia" w:hAnsiTheme="minorHAnsi" w:cstheme="minorBidi"/>
          <w:sz w:val="22"/>
          <w:szCs w:val="22"/>
          <w:lang w:val="sq-AL"/>
        </w:rPr>
        <w:t xml:space="preserve">operimin </w:t>
      </w:r>
      <w:r w:rsidRPr="00996B0F">
        <w:rPr>
          <w:rFonts w:asciiTheme="minorHAnsi" w:eastAsiaTheme="minorEastAsia" w:hAnsiTheme="minorHAnsi" w:cstheme="minorBidi"/>
          <w:sz w:val="22"/>
          <w:szCs w:val="22"/>
          <w:lang w:val="sq-AL"/>
        </w:rPr>
        <w:t>e një biznesi që do të përfshihe</w:t>
      </w:r>
      <w:r w:rsidR="00290B13">
        <w:rPr>
          <w:rFonts w:asciiTheme="minorHAnsi" w:eastAsiaTheme="minorEastAsia" w:hAnsiTheme="minorHAnsi" w:cstheme="minorBidi"/>
          <w:sz w:val="22"/>
          <w:szCs w:val="22"/>
          <w:lang w:val="sq-AL"/>
        </w:rPr>
        <w:t>n</w:t>
      </w:r>
      <w:r w:rsidRPr="00996B0F">
        <w:rPr>
          <w:rFonts w:asciiTheme="minorHAnsi" w:eastAsiaTheme="minorEastAsia" w:hAnsiTheme="minorHAnsi" w:cstheme="minorBidi"/>
          <w:sz w:val="22"/>
          <w:szCs w:val="22"/>
          <w:lang w:val="sq-AL"/>
        </w:rPr>
        <w:t xml:space="preserve"> në "</w:t>
      </w:r>
      <w:proofErr w:type="spellStart"/>
      <w:r w:rsidRPr="00996B0F">
        <w:rPr>
          <w:rFonts w:asciiTheme="minorHAnsi" w:eastAsiaTheme="minorEastAsia" w:hAnsiTheme="minorHAnsi" w:cstheme="minorBidi"/>
          <w:sz w:val="22"/>
          <w:szCs w:val="22"/>
          <w:lang w:val="sq-AL"/>
        </w:rPr>
        <w:t>Invest</w:t>
      </w:r>
      <w:proofErr w:type="spellEnd"/>
      <w:r w:rsidRPr="00996B0F">
        <w:rPr>
          <w:rFonts w:asciiTheme="minorHAnsi" w:eastAsiaTheme="minorEastAsia" w:hAnsiTheme="minorHAnsi" w:cstheme="minorBidi"/>
          <w:sz w:val="22"/>
          <w:szCs w:val="22"/>
          <w:lang w:val="sq-AL"/>
        </w:rPr>
        <w:t xml:space="preserve"> in SEE" </w:t>
      </w:r>
      <w:r w:rsidR="00290B13">
        <w:rPr>
          <w:rFonts w:asciiTheme="minorHAnsi" w:eastAsiaTheme="minorEastAsia" w:hAnsiTheme="minorHAnsi" w:cstheme="minorBidi"/>
          <w:sz w:val="22"/>
          <w:szCs w:val="22"/>
          <w:lang w:val="sq-AL"/>
        </w:rPr>
        <w:t>(Investoni n</w:t>
      </w:r>
      <w:r w:rsidR="006822F7">
        <w:rPr>
          <w:rFonts w:asciiTheme="minorHAnsi" w:eastAsiaTheme="minorEastAsia" w:hAnsiTheme="minorHAnsi" w:cstheme="minorBidi"/>
          <w:sz w:val="22"/>
          <w:szCs w:val="22"/>
          <w:lang w:val="sq-AL"/>
        </w:rPr>
        <w:t>ë</w:t>
      </w:r>
      <w:r w:rsidR="00290B13">
        <w:rPr>
          <w:rFonts w:asciiTheme="minorHAnsi" w:eastAsiaTheme="minorEastAsia" w:hAnsiTheme="minorHAnsi" w:cstheme="minorBidi"/>
          <w:sz w:val="22"/>
          <w:szCs w:val="22"/>
          <w:lang w:val="sq-AL"/>
        </w:rPr>
        <w:t xml:space="preserve"> EJL) </w:t>
      </w:r>
      <w:r w:rsidRPr="00996B0F">
        <w:rPr>
          <w:rFonts w:asciiTheme="minorHAnsi" w:eastAsiaTheme="minorEastAsia" w:hAnsiTheme="minorHAnsi" w:cstheme="minorBidi"/>
          <w:sz w:val="22"/>
          <w:szCs w:val="22"/>
          <w:lang w:val="sq-AL"/>
        </w:rPr>
        <w:t>përfshijnë, por jo ekskluzivisht</w:t>
      </w:r>
      <w:r w:rsidR="00C422E9" w:rsidRPr="009A66BD">
        <w:rPr>
          <w:rFonts w:asciiTheme="minorHAnsi" w:eastAsiaTheme="minorEastAsia" w:hAnsiTheme="minorHAnsi" w:cstheme="minorBidi"/>
          <w:sz w:val="22"/>
          <w:szCs w:val="22"/>
          <w:lang w:val="sq-AL"/>
        </w:rPr>
        <w:t>:</w:t>
      </w:r>
    </w:p>
    <w:p w14:paraId="4797DE3A" w14:textId="1A70C143" w:rsidR="00C422E9" w:rsidRPr="009A66BD" w:rsidRDefault="00996B0F"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996B0F">
        <w:rPr>
          <w:rFonts w:asciiTheme="minorHAnsi" w:eastAsiaTheme="minorEastAsia" w:hAnsiTheme="minorHAnsi" w:cstheme="minorBidi"/>
          <w:sz w:val="22"/>
          <w:szCs w:val="22"/>
          <w:lang w:val="sq-AL"/>
        </w:rPr>
        <w:lastRenderedPageBreak/>
        <w:t>Procedurat e regjistrimit të biznesit për të gjitha llojet e ndryshme të subjekteve afariste (Partneritet, SH.P.K, Shoqëri Aksionare, Pronarë të Vetëm, degë, zyra të përfaqësimit etj</w:t>
      </w:r>
      <w:r w:rsidR="00C422E9" w:rsidRPr="009A66BD">
        <w:rPr>
          <w:rFonts w:asciiTheme="minorHAnsi" w:eastAsiaTheme="minorEastAsia" w:hAnsiTheme="minorHAnsi" w:cstheme="minorBidi"/>
          <w:sz w:val="22"/>
          <w:szCs w:val="22"/>
          <w:lang w:val="sq-AL"/>
        </w:rPr>
        <w:t>.)</w:t>
      </w:r>
    </w:p>
    <w:p w14:paraId="28352BD1" w14:textId="76BAE161" w:rsidR="00C422E9" w:rsidRPr="009A66BD" w:rsidRDefault="00062E8F"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062E8F">
        <w:rPr>
          <w:rFonts w:asciiTheme="minorHAnsi" w:eastAsiaTheme="minorEastAsia" w:hAnsiTheme="minorHAnsi" w:cstheme="minorBidi"/>
          <w:sz w:val="22"/>
          <w:szCs w:val="22"/>
          <w:lang w:val="sq-AL"/>
        </w:rPr>
        <w:t>Para-regjistrimi (p.sh. verifikimi i emrit, rezervimi</w:t>
      </w:r>
      <w:r w:rsidR="00C422E9" w:rsidRPr="009A66BD">
        <w:rPr>
          <w:rFonts w:asciiTheme="minorHAnsi" w:eastAsiaTheme="minorEastAsia" w:hAnsiTheme="minorHAnsi" w:cstheme="minorBidi"/>
          <w:sz w:val="22"/>
          <w:szCs w:val="22"/>
          <w:lang w:val="sq-AL"/>
        </w:rPr>
        <w:t>)</w:t>
      </w:r>
    </w:p>
    <w:p w14:paraId="1ADEB51D" w14:textId="55B56A1F" w:rsidR="00C422E9" w:rsidRPr="009A66BD" w:rsidRDefault="00062E8F"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062E8F">
        <w:rPr>
          <w:rFonts w:asciiTheme="minorHAnsi" w:eastAsiaTheme="minorEastAsia" w:hAnsiTheme="minorHAnsi" w:cstheme="minorBidi"/>
          <w:sz w:val="22"/>
          <w:szCs w:val="22"/>
          <w:lang w:val="sq-AL"/>
        </w:rPr>
        <w:t>Pagesa e tatimeve (tatimi mbi vlerën e shtuar, tatimi mbi të ardhurat e korporatave, taksat dhe kontributet për punonjësit etj</w:t>
      </w:r>
      <w:r w:rsidR="00C422E9" w:rsidRPr="009A66BD">
        <w:rPr>
          <w:rFonts w:asciiTheme="minorHAnsi" w:eastAsiaTheme="minorEastAsia" w:hAnsiTheme="minorHAnsi" w:cstheme="minorBidi"/>
          <w:sz w:val="22"/>
          <w:szCs w:val="22"/>
          <w:lang w:val="sq-AL"/>
        </w:rPr>
        <w:t>.)</w:t>
      </w:r>
    </w:p>
    <w:p w14:paraId="1D876E1B" w14:textId="77777777" w:rsidR="00062E8F" w:rsidRDefault="00062E8F"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062E8F">
        <w:rPr>
          <w:rFonts w:asciiTheme="minorHAnsi" w:eastAsiaTheme="minorEastAsia" w:hAnsiTheme="minorHAnsi" w:cstheme="minorBidi"/>
          <w:sz w:val="22"/>
          <w:szCs w:val="22"/>
          <w:lang w:val="sq-AL"/>
        </w:rPr>
        <w:t>Regjistrimi në një komunë</w:t>
      </w:r>
    </w:p>
    <w:p w14:paraId="0932EA5E" w14:textId="133086F4" w:rsidR="00C422E9" w:rsidRPr="009A66BD" w:rsidRDefault="001911BD"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1911BD">
        <w:rPr>
          <w:rFonts w:asciiTheme="minorHAnsi" w:eastAsiaTheme="minorEastAsia" w:hAnsiTheme="minorHAnsi" w:cstheme="minorBidi"/>
          <w:sz w:val="22"/>
          <w:szCs w:val="22"/>
          <w:lang w:val="sq-AL"/>
        </w:rPr>
        <w:t>Regjistrimi i pronës (p.sh. kontrollimi për barrë</w:t>
      </w:r>
      <w:r w:rsidR="001F0469">
        <w:rPr>
          <w:rFonts w:asciiTheme="minorHAnsi" w:eastAsiaTheme="minorEastAsia" w:hAnsiTheme="minorHAnsi" w:cstheme="minorBidi"/>
          <w:sz w:val="22"/>
          <w:szCs w:val="22"/>
          <w:lang w:val="sq-AL"/>
        </w:rPr>
        <w:t>t</w:t>
      </w:r>
      <w:r w:rsidRPr="001911BD">
        <w:rPr>
          <w:rFonts w:asciiTheme="minorHAnsi" w:eastAsiaTheme="minorEastAsia" w:hAnsiTheme="minorHAnsi" w:cstheme="minorBidi"/>
          <w:sz w:val="22"/>
          <w:szCs w:val="22"/>
          <w:lang w:val="sq-AL"/>
        </w:rPr>
        <w:t>, pagesa e taksave të pronës, titulli i depozitimit</w:t>
      </w:r>
      <w:r w:rsidR="00C422E9" w:rsidRPr="009A66BD">
        <w:rPr>
          <w:rFonts w:asciiTheme="minorHAnsi" w:eastAsiaTheme="minorEastAsia" w:hAnsiTheme="minorHAnsi" w:cstheme="minorBidi"/>
          <w:sz w:val="22"/>
          <w:szCs w:val="22"/>
          <w:lang w:val="sq-AL"/>
        </w:rPr>
        <w:t>)</w:t>
      </w:r>
    </w:p>
    <w:p w14:paraId="0155C6D5" w14:textId="0392D229" w:rsidR="00C422E9" w:rsidRPr="009A66BD" w:rsidRDefault="001911BD"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1911BD">
        <w:rPr>
          <w:rFonts w:asciiTheme="minorHAnsi" w:eastAsiaTheme="minorEastAsia" w:hAnsiTheme="minorHAnsi" w:cstheme="minorBidi"/>
          <w:sz w:val="22"/>
          <w:szCs w:val="22"/>
          <w:lang w:val="sq-AL"/>
        </w:rPr>
        <w:t>Furnizimi me energji elektrike (zhdoganimi, lejet, inspektimet, njoftimet, kontratat e furnizimit)</w:t>
      </w:r>
      <w:r w:rsidR="00C422E9" w:rsidRPr="009A66BD">
        <w:rPr>
          <w:rFonts w:asciiTheme="minorHAnsi" w:eastAsiaTheme="minorEastAsia" w:hAnsiTheme="minorHAnsi" w:cstheme="minorBidi"/>
          <w:sz w:val="22"/>
          <w:szCs w:val="22"/>
          <w:lang w:val="sq-AL"/>
        </w:rPr>
        <w:t>)</w:t>
      </w:r>
    </w:p>
    <w:p w14:paraId="3F58ABF1" w14:textId="77777777" w:rsidR="001911BD" w:rsidRDefault="001911BD" w:rsidP="001911BD">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1911BD">
        <w:rPr>
          <w:rFonts w:asciiTheme="minorHAnsi" w:eastAsiaTheme="minorEastAsia" w:hAnsiTheme="minorHAnsi" w:cstheme="minorBidi"/>
          <w:sz w:val="22"/>
          <w:szCs w:val="22"/>
          <w:lang w:val="sq-AL"/>
        </w:rPr>
        <w:t>Hapja e një llogarie bankare</w:t>
      </w:r>
    </w:p>
    <w:p w14:paraId="344C1480" w14:textId="0330667E" w:rsidR="00C422E9" w:rsidRPr="009A66BD" w:rsidRDefault="001911BD" w:rsidP="000B4979">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1911BD">
        <w:rPr>
          <w:rFonts w:asciiTheme="minorHAnsi" w:eastAsiaTheme="minorEastAsia" w:hAnsiTheme="minorHAnsi" w:cstheme="minorBidi"/>
          <w:sz w:val="22"/>
          <w:szCs w:val="22"/>
          <w:lang w:val="sq-AL"/>
        </w:rPr>
        <w:t>Regjistrimi i punonjësve (p.sh. sigurimet shoqërore, përfitimet shëndetësore</w:t>
      </w:r>
      <w:r w:rsidR="00C422E9" w:rsidRPr="009A66BD">
        <w:rPr>
          <w:rFonts w:asciiTheme="minorHAnsi" w:eastAsiaTheme="minorEastAsia" w:hAnsiTheme="minorHAnsi" w:cstheme="minorBidi"/>
          <w:sz w:val="22"/>
          <w:szCs w:val="22"/>
          <w:lang w:val="sq-AL"/>
        </w:rPr>
        <w:t>)</w:t>
      </w:r>
    </w:p>
    <w:p w14:paraId="217ACFFB" w14:textId="77777777" w:rsidR="000B4979" w:rsidRDefault="000B4979" w:rsidP="000B4979">
      <w:pPr>
        <w:pStyle w:val="ListParagraph"/>
        <w:numPr>
          <w:ilvl w:val="0"/>
          <w:numId w:val="6"/>
        </w:numPr>
        <w:spacing w:after="160" w:line="259" w:lineRule="auto"/>
        <w:ind w:left="720"/>
        <w:rPr>
          <w:rFonts w:asciiTheme="minorHAnsi" w:eastAsiaTheme="minorEastAsia" w:hAnsiTheme="minorHAnsi" w:cstheme="minorBidi"/>
          <w:sz w:val="22"/>
          <w:szCs w:val="22"/>
          <w:lang w:val="sq-AL"/>
        </w:rPr>
      </w:pPr>
      <w:r w:rsidRPr="000B4979">
        <w:rPr>
          <w:rFonts w:asciiTheme="minorHAnsi" w:eastAsiaTheme="minorEastAsia" w:hAnsiTheme="minorHAnsi" w:cstheme="minorBidi"/>
          <w:sz w:val="22"/>
          <w:szCs w:val="22"/>
          <w:lang w:val="sq-AL"/>
        </w:rPr>
        <w:t>Marrja e licencave ose lejeve të tjera specifike të sektorit</w:t>
      </w:r>
    </w:p>
    <w:p w14:paraId="59CEE0EB" w14:textId="49310781" w:rsidR="00C422E9" w:rsidRPr="009A66BD" w:rsidRDefault="000B4979" w:rsidP="00C422E9">
      <w:pPr>
        <w:spacing w:after="120" w:line="240" w:lineRule="auto"/>
        <w:ind w:firstLine="0"/>
        <w:jc w:val="left"/>
        <w:rPr>
          <w:rFonts w:asciiTheme="minorHAnsi" w:eastAsiaTheme="minorEastAsia" w:hAnsiTheme="minorHAnsi" w:cstheme="minorBidi"/>
          <w:sz w:val="22"/>
          <w:szCs w:val="22"/>
          <w:lang w:val="sq-AL"/>
        </w:rPr>
      </w:pPr>
      <w:r w:rsidRPr="000B4979">
        <w:rPr>
          <w:rFonts w:asciiTheme="minorHAnsi" w:eastAsiaTheme="minorEastAsia" w:hAnsiTheme="minorHAnsi" w:cstheme="minorBidi"/>
          <w:sz w:val="22"/>
          <w:szCs w:val="22"/>
          <w:lang w:val="sq-AL"/>
        </w:rPr>
        <w:t>Për çdo procedurë, duhet të renditet</w:t>
      </w:r>
      <w:r w:rsidR="007E49F9">
        <w:rPr>
          <w:rFonts w:asciiTheme="minorHAnsi" w:eastAsiaTheme="minorEastAsia" w:hAnsiTheme="minorHAnsi" w:cstheme="minorBidi"/>
          <w:sz w:val="22"/>
          <w:szCs w:val="22"/>
          <w:lang w:val="sq-AL"/>
        </w:rPr>
        <w:t>/listohet secili hap</w:t>
      </w:r>
      <w:r w:rsidRPr="000B4979">
        <w:rPr>
          <w:rFonts w:asciiTheme="minorHAnsi" w:eastAsiaTheme="minorEastAsia" w:hAnsiTheme="minorHAnsi" w:cstheme="minorBidi"/>
          <w:sz w:val="22"/>
          <w:szCs w:val="22"/>
          <w:lang w:val="sq-AL"/>
        </w:rPr>
        <w:t>. Për secilën nga hapat, si dhe për procedurën në tërësi, duhet ofruar detajet e mëposhtme</w:t>
      </w:r>
      <w:r w:rsidR="00C422E9" w:rsidRPr="009A66BD">
        <w:rPr>
          <w:rFonts w:asciiTheme="minorHAnsi" w:eastAsiaTheme="minorEastAsia" w:hAnsiTheme="minorHAnsi" w:cstheme="minorBidi"/>
          <w:sz w:val="22"/>
          <w:szCs w:val="22"/>
          <w:lang w:val="sq-AL"/>
        </w:rPr>
        <w:t>:</w:t>
      </w:r>
    </w:p>
    <w:p w14:paraId="5A89D32C" w14:textId="1277EDF3" w:rsidR="000B4979" w:rsidRDefault="000B4979" w:rsidP="001438CC">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0B4979">
        <w:rPr>
          <w:rFonts w:asciiTheme="minorHAnsi" w:eastAsiaTheme="minorEastAsia" w:hAnsiTheme="minorHAnsi" w:cstheme="minorBidi"/>
          <w:sz w:val="22"/>
          <w:szCs w:val="22"/>
          <w:lang w:val="sq-AL"/>
        </w:rPr>
        <w:t xml:space="preserve">Institucionet e përfshira </w:t>
      </w:r>
      <w:r w:rsidR="007E49F9">
        <w:rPr>
          <w:rFonts w:asciiTheme="minorHAnsi" w:eastAsiaTheme="minorEastAsia" w:hAnsiTheme="minorHAnsi" w:cstheme="minorBidi"/>
          <w:sz w:val="22"/>
          <w:szCs w:val="22"/>
          <w:lang w:val="sq-AL"/>
        </w:rPr>
        <w:t>në hapin / procedurën dhe lloji i</w:t>
      </w:r>
      <w:r w:rsidRPr="000B4979">
        <w:rPr>
          <w:rFonts w:asciiTheme="minorHAnsi" w:eastAsiaTheme="minorEastAsia" w:hAnsiTheme="minorHAnsi" w:cstheme="minorBidi"/>
          <w:sz w:val="22"/>
          <w:szCs w:val="22"/>
          <w:lang w:val="sq-AL"/>
        </w:rPr>
        <w:t xml:space="preserve"> përfshirjes</w:t>
      </w:r>
    </w:p>
    <w:p w14:paraId="6D758E3D" w14:textId="77777777" w:rsidR="000B4979" w:rsidRDefault="000B4979" w:rsidP="001438CC">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0B4979">
        <w:rPr>
          <w:rFonts w:asciiTheme="minorHAnsi" w:eastAsiaTheme="minorEastAsia" w:hAnsiTheme="minorHAnsi" w:cstheme="minorBidi"/>
          <w:sz w:val="22"/>
          <w:szCs w:val="22"/>
          <w:lang w:val="sq-AL"/>
        </w:rPr>
        <w:t>Dokumentet që rezultojnë nga përfundimi i suksesshëm i hapit / procedurës</w:t>
      </w:r>
    </w:p>
    <w:p w14:paraId="276B46BC" w14:textId="77777777" w:rsidR="001438CC" w:rsidRDefault="001438CC" w:rsidP="001438CC">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1438CC">
        <w:rPr>
          <w:rFonts w:asciiTheme="minorHAnsi" w:eastAsiaTheme="minorEastAsia" w:hAnsiTheme="minorHAnsi" w:cstheme="minorBidi"/>
          <w:sz w:val="22"/>
          <w:szCs w:val="22"/>
          <w:lang w:val="sq-AL"/>
        </w:rPr>
        <w:t>Dokumentet e nevojshme për hapin / procedurën</w:t>
      </w:r>
    </w:p>
    <w:p w14:paraId="45452F99" w14:textId="77777777" w:rsidR="001438CC" w:rsidRDefault="001438CC" w:rsidP="001438CC">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1438CC">
        <w:rPr>
          <w:rFonts w:asciiTheme="minorHAnsi" w:eastAsiaTheme="minorEastAsia" w:hAnsiTheme="minorHAnsi" w:cstheme="minorBidi"/>
          <w:sz w:val="22"/>
          <w:szCs w:val="22"/>
          <w:lang w:val="sq-AL"/>
        </w:rPr>
        <w:t>Vlerësimi i kostos së hapit / procedurës</w:t>
      </w:r>
    </w:p>
    <w:p w14:paraId="0B03AC1C" w14:textId="5A2042AB" w:rsidR="001438CC" w:rsidRDefault="001438CC" w:rsidP="001438CC">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1438CC">
        <w:rPr>
          <w:rFonts w:asciiTheme="minorHAnsi" w:eastAsiaTheme="minorEastAsia" w:hAnsiTheme="minorHAnsi" w:cstheme="minorBidi"/>
          <w:sz w:val="22"/>
          <w:szCs w:val="22"/>
          <w:lang w:val="sq-AL"/>
        </w:rPr>
        <w:t>Vlerësimi i kohëzgjatjes së përgjithshme të hapit / procedurës</w:t>
      </w:r>
    </w:p>
    <w:p w14:paraId="56D0072A" w14:textId="77777777" w:rsidR="00003F99" w:rsidRPr="00003F99" w:rsidRDefault="00003F99" w:rsidP="00003F99">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003F99">
        <w:rPr>
          <w:rFonts w:asciiTheme="minorHAnsi" w:eastAsiaTheme="minorEastAsia" w:hAnsiTheme="minorHAnsi" w:cstheme="minorBidi"/>
          <w:sz w:val="22"/>
          <w:szCs w:val="22"/>
          <w:lang w:val="sq-AL"/>
        </w:rPr>
        <w:t>Ligjet që arsyetojnë hapin / procedurën</w:t>
      </w:r>
    </w:p>
    <w:p w14:paraId="485A2EF3" w14:textId="79B21A60" w:rsidR="00C422E9" w:rsidRPr="00003F99" w:rsidRDefault="00003F99" w:rsidP="00003F99">
      <w:pPr>
        <w:pStyle w:val="ListParagraph"/>
        <w:numPr>
          <w:ilvl w:val="0"/>
          <w:numId w:val="7"/>
        </w:numPr>
        <w:spacing w:after="160" w:line="259" w:lineRule="auto"/>
        <w:ind w:left="720"/>
        <w:rPr>
          <w:rFonts w:asciiTheme="minorHAnsi" w:eastAsiaTheme="minorEastAsia" w:hAnsiTheme="minorHAnsi" w:cstheme="minorBidi"/>
          <w:sz w:val="22"/>
          <w:szCs w:val="22"/>
          <w:lang w:val="sq-AL"/>
        </w:rPr>
      </w:pPr>
      <w:r w:rsidRPr="00003F99">
        <w:rPr>
          <w:rFonts w:asciiTheme="minorHAnsi" w:eastAsiaTheme="minorEastAsia" w:hAnsiTheme="minorHAnsi" w:cstheme="minorBidi"/>
          <w:sz w:val="22"/>
          <w:szCs w:val="22"/>
          <w:lang w:val="sq-AL"/>
        </w:rPr>
        <w:t>Informacione shtesë të dobishme</w:t>
      </w:r>
    </w:p>
    <w:p w14:paraId="46C7F09A" w14:textId="088C2594" w:rsidR="00C422E9" w:rsidRPr="009A66BD" w:rsidRDefault="007E49F9" w:rsidP="00C422E9">
      <w:pPr>
        <w:spacing w:after="200" w:line="276" w:lineRule="auto"/>
        <w:ind w:firstLine="0"/>
        <w:jc w:val="left"/>
        <w:rPr>
          <w:rFonts w:asciiTheme="minorHAnsi" w:hAnsiTheme="minorHAnsi"/>
          <w:sz w:val="22"/>
          <w:szCs w:val="22"/>
          <w:u w:val="single"/>
          <w:lang w:val="sq-AL"/>
        </w:rPr>
      </w:pPr>
      <w:r>
        <w:rPr>
          <w:rFonts w:asciiTheme="minorHAnsi" w:hAnsiTheme="minorHAnsi"/>
          <w:sz w:val="22"/>
          <w:szCs w:val="22"/>
          <w:u w:val="single"/>
          <w:lang w:val="sq-AL"/>
        </w:rPr>
        <w:t>Veprimi</w:t>
      </w:r>
      <w:r w:rsidR="00E75F8D">
        <w:rPr>
          <w:rFonts w:asciiTheme="minorHAnsi" w:hAnsiTheme="minorHAnsi"/>
          <w:sz w:val="22"/>
          <w:szCs w:val="22"/>
          <w:u w:val="single"/>
          <w:lang w:val="sq-AL"/>
        </w:rPr>
        <w:t xml:space="preserve"> 2.2.1 </w:t>
      </w:r>
      <w:r>
        <w:rPr>
          <w:rFonts w:asciiTheme="minorHAnsi" w:hAnsiTheme="minorHAnsi"/>
          <w:sz w:val="22"/>
          <w:szCs w:val="22"/>
          <w:u w:val="single"/>
          <w:lang w:val="sq-AL"/>
        </w:rPr>
        <w:t>i</w:t>
      </w:r>
      <w:r w:rsidR="00E75F8D" w:rsidRPr="00E75F8D">
        <w:rPr>
          <w:rFonts w:asciiTheme="minorHAnsi" w:hAnsiTheme="minorHAnsi"/>
          <w:sz w:val="22"/>
          <w:szCs w:val="22"/>
          <w:u w:val="single"/>
          <w:lang w:val="sq-AL"/>
        </w:rPr>
        <w:t xml:space="preserve"> PVRI-së</w:t>
      </w:r>
      <w:r w:rsidR="00C422E9" w:rsidRPr="009A66BD">
        <w:rPr>
          <w:rFonts w:asciiTheme="minorHAnsi" w:hAnsiTheme="minorHAnsi"/>
          <w:sz w:val="22"/>
          <w:szCs w:val="22"/>
          <w:u w:val="single"/>
          <w:lang w:val="sq-AL"/>
        </w:rPr>
        <w:t>.</w:t>
      </w:r>
    </w:p>
    <w:p w14:paraId="7F6612FE" w14:textId="2412C50D" w:rsidR="00C422E9" w:rsidRPr="009A66BD" w:rsidRDefault="00CD6FC7" w:rsidP="00C422E9">
      <w:pPr>
        <w:spacing w:after="120" w:line="240" w:lineRule="auto"/>
        <w:ind w:firstLine="0"/>
        <w:jc w:val="left"/>
        <w:rPr>
          <w:rFonts w:asciiTheme="minorHAnsi" w:eastAsiaTheme="minorEastAsia" w:hAnsiTheme="minorHAnsi" w:cstheme="minorBidi"/>
          <w:sz w:val="22"/>
          <w:szCs w:val="22"/>
          <w:lang w:val="sq-AL"/>
        </w:rPr>
      </w:pPr>
      <w:r w:rsidRPr="00CD6FC7">
        <w:rPr>
          <w:rFonts w:asciiTheme="minorHAnsi" w:eastAsiaTheme="minorEastAsia" w:hAnsiTheme="minorHAnsi" w:cstheme="minorBidi"/>
          <w:sz w:val="22"/>
          <w:szCs w:val="22"/>
          <w:lang w:val="sq-AL"/>
        </w:rPr>
        <w:t>Kërkesat e regjistrimit të biznesit që do të krahasohen për</w:t>
      </w:r>
      <w:r w:rsidR="007E49F9">
        <w:rPr>
          <w:rFonts w:asciiTheme="minorHAnsi" w:eastAsiaTheme="minorEastAsia" w:hAnsiTheme="minorHAnsi" w:cstheme="minorBidi"/>
          <w:sz w:val="22"/>
          <w:szCs w:val="22"/>
          <w:lang w:val="sq-AL"/>
        </w:rPr>
        <w:t>fshijn</w:t>
      </w:r>
      <w:r w:rsidR="006822F7">
        <w:rPr>
          <w:rFonts w:asciiTheme="minorHAnsi" w:eastAsiaTheme="minorEastAsia" w:hAnsiTheme="minorHAnsi" w:cstheme="minorBidi"/>
          <w:sz w:val="22"/>
          <w:szCs w:val="22"/>
          <w:lang w:val="sq-AL"/>
        </w:rPr>
        <w:t>ë</w:t>
      </w:r>
      <w:r w:rsidR="00C422E9" w:rsidRPr="009A66BD">
        <w:rPr>
          <w:rFonts w:asciiTheme="minorHAnsi" w:eastAsiaTheme="minorEastAsia" w:hAnsiTheme="minorHAnsi" w:cstheme="minorBidi"/>
          <w:sz w:val="22"/>
          <w:szCs w:val="22"/>
          <w:lang w:val="sq-AL"/>
        </w:rPr>
        <w:t>:</w:t>
      </w:r>
    </w:p>
    <w:p w14:paraId="0D622F7B" w14:textId="77777777" w:rsidR="00CD6FC7" w:rsidRDefault="00CD6FC7" w:rsidP="00CD6FC7">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CD6FC7">
        <w:rPr>
          <w:rFonts w:asciiTheme="minorHAnsi" w:eastAsiaTheme="minorEastAsia" w:hAnsiTheme="minorHAnsi" w:cstheme="minorBidi"/>
          <w:sz w:val="22"/>
          <w:szCs w:val="22"/>
          <w:lang w:val="sq-AL"/>
        </w:rPr>
        <w:t>Llojet e mundshme të formave ligjore të subjekteve afariste, kërkesat e tyre specifike dhe hapat e regjistrimit</w:t>
      </w:r>
    </w:p>
    <w:p w14:paraId="45EF1C63" w14:textId="77777777" w:rsidR="00751969" w:rsidRDefault="00751969" w:rsidP="00751969">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751969">
        <w:rPr>
          <w:rFonts w:asciiTheme="minorHAnsi" w:eastAsiaTheme="minorEastAsia" w:hAnsiTheme="minorHAnsi" w:cstheme="minorBidi"/>
          <w:sz w:val="22"/>
          <w:szCs w:val="22"/>
          <w:lang w:val="sq-AL"/>
        </w:rPr>
        <w:t>Pagesa e tarifave të regjistrimit</w:t>
      </w:r>
    </w:p>
    <w:p w14:paraId="75D257FB" w14:textId="777E17A8" w:rsidR="00751969" w:rsidRDefault="00751969" w:rsidP="00751969">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751969">
        <w:rPr>
          <w:rFonts w:asciiTheme="minorHAnsi" w:eastAsiaTheme="minorEastAsia" w:hAnsiTheme="minorHAnsi" w:cstheme="minorBidi"/>
          <w:sz w:val="22"/>
          <w:szCs w:val="22"/>
          <w:lang w:val="sq-AL"/>
        </w:rPr>
        <w:t xml:space="preserve">Nevoja e </w:t>
      </w:r>
      <w:r>
        <w:rPr>
          <w:rFonts w:asciiTheme="minorHAnsi" w:eastAsiaTheme="minorEastAsia" w:hAnsiTheme="minorHAnsi" w:cstheme="minorBidi"/>
          <w:sz w:val="22"/>
          <w:szCs w:val="22"/>
          <w:lang w:val="sq-AL"/>
        </w:rPr>
        <w:t>miratimit nga noteri për secilin</w:t>
      </w:r>
      <w:r w:rsidRPr="00751969">
        <w:rPr>
          <w:rFonts w:asciiTheme="minorHAnsi" w:eastAsiaTheme="minorEastAsia" w:hAnsiTheme="minorHAnsi" w:cstheme="minorBidi"/>
          <w:sz w:val="22"/>
          <w:szCs w:val="22"/>
          <w:lang w:val="sq-AL"/>
        </w:rPr>
        <w:t xml:space="preserve"> nga hapat</w:t>
      </w:r>
    </w:p>
    <w:p w14:paraId="7CD214CE" w14:textId="77777777" w:rsidR="00751969" w:rsidRDefault="00751969" w:rsidP="00751969">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751969">
        <w:rPr>
          <w:rFonts w:asciiTheme="minorHAnsi" w:eastAsiaTheme="minorEastAsia" w:hAnsiTheme="minorHAnsi" w:cstheme="minorBidi"/>
          <w:sz w:val="22"/>
          <w:szCs w:val="22"/>
          <w:lang w:val="sq-AL"/>
        </w:rPr>
        <w:t>Kërkesat minimale të kapitalit</w:t>
      </w:r>
    </w:p>
    <w:p w14:paraId="617621F7" w14:textId="3D8C3A18" w:rsidR="00C422E9" w:rsidRPr="009A66BD" w:rsidRDefault="00751969" w:rsidP="00751969">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751969">
        <w:rPr>
          <w:rFonts w:asciiTheme="minorHAnsi" w:eastAsiaTheme="minorEastAsia" w:hAnsiTheme="minorHAnsi" w:cstheme="minorBidi"/>
          <w:sz w:val="22"/>
          <w:szCs w:val="22"/>
          <w:lang w:val="sq-AL"/>
        </w:rPr>
        <w:t>Regjistrimi i detyrueshëm dhe proceset e regjistrimit me institucionet e veçanta qeveritare (p.sh. inspekt</w:t>
      </w:r>
      <w:r w:rsidR="007E49F9">
        <w:rPr>
          <w:rFonts w:asciiTheme="minorHAnsi" w:eastAsiaTheme="minorEastAsia" w:hAnsiTheme="minorHAnsi" w:cstheme="minorBidi"/>
          <w:sz w:val="22"/>
          <w:szCs w:val="22"/>
          <w:lang w:val="sq-AL"/>
        </w:rPr>
        <w:t xml:space="preserve">orati </w:t>
      </w:r>
      <w:r w:rsidRPr="00751969">
        <w:rPr>
          <w:rFonts w:asciiTheme="minorHAnsi" w:eastAsiaTheme="minorEastAsia" w:hAnsiTheme="minorHAnsi" w:cstheme="minorBidi"/>
          <w:sz w:val="22"/>
          <w:szCs w:val="22"/>
          <w:lang w:val="sq-AL"/>
        </w:rPr>
        <w:t>i tregut, komuna, autoriteti tatimor</w:t>
      </w:r>
      <w:r w:rsidR="00C422E9" w:rsidRPr="009A66BD">
        <w:rPr>
          <w:rFonts w:asciiTheme="minorHAnsi" w:eastAsiaTheme="minorEastAsia" w:hAnsiTheme="minorHAnsi" w:cstheme="minorBidi"/>
          <w:sz w:val="22"/>
          <w:szCs w:val="22"/>
          <w:lang w:val="sq-AL"/>
        </w:rPr>
        <w:t>)</w:t>
      </w:r>
    </w:p>
    <w:p w14:paraId="31248DD5" w14:textId="638BD026" w:rsidR="00751969" w:rsidRDefault="00751969" w:rsidP="00751969">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751969">
        <w:rPr>
          <w:rFonts w:asciiTheme="minorHAnsi" w:eastAsiaTheme="minorEastAsia" w:hAnsiTheme="minorHAnsi" w:cstheme="minorBidi"/>
          <w:sz w:val="22"/>
          <w:szCs w:val="22"/>
          <w:lang w:val="sq-AL"/>
        </w:rPr>
        <w:t>Sigurimi i Klauzolave të Objektivave</w:t>
      </w:r>
      <w:r w:rsidR="007E49F9">
        <w:rPr>
          <w:rFonts w:asciiTheme="minorHAnsi" w:eastAsiaTheme="minorEastAsia" w:hAnsiTheme="minorHAnsi" w:cstheme="minorBidi"/>
          <w:sz w:val="22"/>
          <w:szCs w:val="22"/>
          <w:lang w:val="sq-AL"/>
        </w:rPr>
        <w:t xml:space="preserve"> t</w:t>
      </w:r>
      <w:r w:rsidR="006822F7">
        <w:rPr>
          <w:rFonts w:asciiTheme="minorHAnsi" w:eastAsiaTheme="minorEastAsia" w:hAnsiTheme="minorHAnsi" w:cstheme="minorBidi"/>
          <w:sz w:val="22"/>
          <w:szCs w:val="22"/>
          <w:lang w:val="sq-AL"/>
        </w:rPr>
        <w:t>ë</w:t>
      </w:r>
      <w:r w:rsidR="007E49F9">
        <w:rPr>
          <w:rFonts w:asciiTheme="minorHAnsi" w:eastAsiaTheme="minorEastAsia" w:hAnsiTheme="minorHAnsi" w:cstheme="minorBidi"/>
          <w:sz w:val="22"/>
          <w:szCs w:val="22"/>
          <w:lang w:val="sq-AL"/>
        </w:rPr>
        <w:t xml:space="preserve"> P</w:t>
      </w:r>
      <w:r w:rsidR="006822F7">
        <w:rPr>
          <w:rFonts w:asciiTheme="minorHAnsi" w:eastAsiaTheme="minorEastAsia" w:hAnsiTheme="minorHAnsi" w:cstheme="minorBidi"/>
          <w:sz w:val="22"/>
          <w:szCs w:val="22"/>
          <w:lang w:val="sq-AL"/>
        </w:rPr>
        <w:t>ë</w:t>
      </w:r>
      <w:r w:rsidR="007E49F9">
        <w:rPr>
          <w:rFonts w:asciiTheme="minorHAnsi" w:eastAsiaTheme="minorEastAsia" w:hAnsiTheme="minorHAnsi" w:cstheme="minorBidi"/>
          <w:sz w:val="22"/>
          <w:szCs w:val="22"/>
          <w:lang w:val="sq-AL"/>
        </w:rPr>
        <w:t>rgjithshme</w:t>
      </w:r>
    </w:p>
    <w:p w14:paraId="3DFCE6C8" w14:textId="446CC882" w:rsidR="00C422E9" w:rsidRPr="009A66BD" w:rsidRDefault="00751969" w:rsidP="00751969">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751969">
        <w:rPr>
          <w:rFonts w:asciiTheme="minorHAnsi" w:eastAsiaTheme="minorEastAsia" w:hAnsiTheme="minorHAnsi" w:cstheme="minorBidi"/>
          <w:sz w:val="22"/>
          <w:szCs w:val="22"/>
          <w:lang w:val="sq-AL"/>
        </w:rPr>
        <w:t>Nevoja e marrjes së lejeve o</w:t>
      </w:r>
      <w:r w:rsidR="00BE09EE">
        <w:rPr>
          <w:rFonts w:asciiTheme="minorHAnsi" w:eastAsiaTheme="minorEastAsia" w:hAnsiTheme="minorHAnsi" w:cstheme="minorBidi"/>
          <w:sz w:val="22"/>
          <w:szCs w:val="22"/>
          <w:lang w:val="sq-AL"/>
        </w:rPr>
        <w:t>se certifikatave (p.sh. mjedis</w:t>
      </w:r>
      <w:r w:rsidR="007E49F9">
        <w:rPr>
          <w:rFonts w:asciiTheme="minorHAnsi" w:eastAsiaTheme="minorEastAsia" w:hAnsiTheme="minorHAnsi" w:cstheme="minorBidi"/>
          <w:sz w:val="22"/>
          <w:szCs w:val="22"/>
          <w:lang w:val="sq-AL"/>
        </w:rPr>
        <w:t>ore</w:t>
      </w:r>
      <w:r w:rsidR="00BE09EE">
        <w:rPr>
          <w:rFonts w:asciiTheme="minorHAnsi" w:eastAsiaTheme="minorEastAsia" w:hAnsiTheme="minorHAnsi" w:cstheme="minorBidi"/>
          <w:sz w:val="22"/>
          <w:szCs w:val="22"/>
          <w:lang w:val="sq-AL"/>
        </w:rPr>
        <w:t>, shëndet</w:t>
      </w:r>
      <w:r w:rsidR="006822F7">
        <w:rPr>
          <w:rFonts w:asciiTheme="minorHAnsi" w:eastAsiaTheme="minorEastAsia" w:hAnsiTheme="minorHAnsi" w:cstheme="minorBidi"/>
          <w:sz w:val="22"/>
          <w:szCs w:val="22"/>
          <w:lang w:val="sq-AL"/>
        </w:rPr>
        <w:t>ë</w:t>
      </w:r>
      <w:r w:rsidR="007E49F9">
        <w:rPr>
          <w:rFonts w:asciiTheme="minorHAnsi" w:eastAsiaTheme="minorEastAsia" w:hAnsiTheme="minorHAnsi" w:cstheme="minorBidi"/>
          <w:sz w:val="22"/>
          <w:szCs w:val="22"/>
          <w:lang w:val="sq-AL"/>
        </w:rPr>
        <w:t>sore</w:t>
      </w:r>
      <w:r w:rsidR="00C422E9" w:rsidRPr="009A66BD">
        <w:rPr>
          <w:rFonts w:asciiTheme="minorHAnsi" w:eastAsiaTheme="minorEastAsia" w:hAnsiTheme="minorHAnsi" w:cstheme="minorBidi"/>
          <w:sz w:val="22"/>
          <w:szCs w:val="22"/>
          <w:lang w:val="sq-AL"/>
        </w:rPr>
        <w:t>)</w:t>
      </w:r>
    </w:p>
    <w:p w14:paraId="2A2E5542" w14:textId="01F80195" w:rsidR="00C422E9" w:rsidRPr="009A66BD" w:rsidRDefault="00BE09EE" w:rsidP="00BE09EE">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BE09EE">
        <w:rPr>
          <w:rFonts w:asciiTheme="minorHAnsi" w:eastAsiaTheme="minorEastAsia" w:hAnsiTheme="minorHAnsi" w:cstheme="minorBidi"/>
          <w:sz w:val="22"/>
          <w:szCs w:val="22"/>
          <w:lang w:val="sq-AL"/>
        </w:rPr>
        <w:t>Regjistrimi i punonjësve (përfitimet shëndetësore, sigurimet shoqërore</w:t>
      </w:r>
      <w:r w:rsidR="00C422E9" w:rsidRPr="009A66BD">
        <w:rPr>
          <w:rFonts w:asciiTheme="minorHAnsi" w:eastAsiaTheme="minorEastAsia" w:hAnsiTheme="minorHAnsi" w:cstheme="minorBidi"/>
          <w:sz w:val="22"/>
          <w:szCs w:val="22"/>
          <w:lang w:val="sq-AL"/>
        </w:rPr>
        <w:t>)</w:t>
      </w:r>
    </w:p>
    <w:p w14:paraId="0DFB07FE" w14:textId="135A703C" w:rsidR="00C422E9" w:rsidRPr="00BE09EE" w:rsidRDefault="00BE09EE" w:rsidP="00BE09EE">
      <w:pPr>
        <w:pStyle w:val="ListParagraph"/>
        <w:numPr>
          <w:ilvl w:val="0"/>
          <w:numId w:val="5"/>
        </w:numPr>
        <w:spacing w:after="120" w:line="240" w:lineRule="auto"/>
        <w:jc w:val="left"/>
        <w:rPr>
          <w:rFonts w:asciiTheme="minorHAnsi" w:eastAsiaTheme="minorEastAsia" w:hAnsiTheme="minorHAnsi" w:cstheme="minorBidi"/>
          <w:sz w:val="22"/>
          <w:szCs w:val="22"/>
          <w:lang w:val="sq-AL"/>
        </w:rPr>
      </w:pPr>
      <w:r w:rsidRPr="00BE09EE">
        <w:rPr>
          <w:rFonts w:asciiTheme="minorHAnsi" w:eastAsiaTheme="minorEastAsia" w:hAnsiTheme="minorHAnsi" w:cstheme="minorBidi"/>
          <w:sz w:val="22"/>
          <w:szCs w:val="22"/>
          <w:lang w:val="sq-AL"/>
        </w:rPr>
        <w:t>Dorëzimi i dokumenteve</w:t>
      </w:r>
    </w:p>
    <w:p w14:paraId="726E57AA" w14:textId="6ED5EA5F" w:rsidR="00C422E9" w:rsidRPr="009A66BD" w:rsidRDefault="007E49F9" w:rsidP="00C422E9">
      <w:pPr>
        <w:spacing w:after="200" w:line="276" w:lineRule="auto"/>
        <w:ind w:firstLine="0"/>
        <w:jc w:val="left"/>
        <w:rPr>
          <w:rFonts w:asciiTheme="minorHAnsi" w:hAnsiTheme="minorHAnsi"/>
          <w:sz w:val="22"/>
          <w:szCs w:val="22"/>
          <w:u w:val="single"/>
          <w:lang w:val="sq-AL"/>
        </w:rPr>
      </w:pPr>
      <w:r>
        <w:rPr>
          <w:rFonts w:asciiTheme="minorHAnsi" w:hAnsiTheme="minorHAnsi"/>
          <w:sz w:val="22"/>
          <w:szCs w:val="22"/>
          <w:u w:val="single"/>
          <w:lang w:val="sq-AL"/>
        </w:rPr>
        <w:t>Veprimi</w:t>
      </w:r>
      <w:r w:rsidR="00E75F8D" w:rsidRPr="00E75F8D">
        <w:rPr>
          <w:rFonts w:asciiTheme="minorHAnsi" w:hAnsiTheme="minorHAnsi"/>
          <w:sz w:val="22"/>
          <w:szCs w:val="22"/>
          <w:u w:val="single"/>
          <w:lang w:val="sq-AL"/>
        </w:rPr>
        <w:t xml:space="preserve"> </w:t>
      </w:r>
      <w:r w:rsidR="00E75F8D">
        <w:rPr>
          <w:rFonts w:asciiTheme="minorHAnsi" w:hAnsiTheme="minorHAnsi"/>
          <w:sz w:val="22"/>
          <w:szCs w:val="22"/>
          <w:u w:val="single"/>
          <w:lang w:val="sq-AL"/>
        </w:rPr>
        <w:t xml:space="preserve">3.1.1 </w:t>
      </w:r>
      <w:r>
        <w:rPr>
          <w:rFonts w:asciiTheme="minorHAnsi" w:hAnsiTheme="minorHAnsi"/>
          <w:sz w:val="22"/>
          <w:szCs w:val="22"/>
          <w:u w:val="single"/>
          <w:lang w:val="sq-AL"/>
        </w:rPr>
        <w:t>i</w:t>
      </w:r>
      <w:r w:rsidR="00E75F8D" w:rsidRPr="00E75F8D">
        <w:rPr>
          <w:rFonts w:asciiTheme="minorHAnsi" w:hAnsiTheme="minorHAnsi"/>
          <w:sz w:val="22"/>
          <w:szCs w:val="22"/>
          <w:u w:val="single"/>
          <w:lang w:val="sq-AL"/>
        </w:rPr>
        <w:t xml:space="preserve"> PVRI-së</w:t>
      </w:r>
      <w:r w:rsidR="00C422E9" w:rsidRPr="009A66BD">
        <w:rPr>
          <w:rFonts w:asciiTheme="minorHAnsi" w:hAnsiTheme="minorHAnsi"/>
          <w:sz w:val="22"/>
          <w:szCs w:val="22"/>
          <w:u w:val="single"/>
          <w:lang w:val="sq-AL"/>
        </w:rPr>
        <w:t>.</w:t>
      </w:r>
    </w:p>
    <w:p w14:paraId="0E25FE09" w14:textId="03328A37" w:rsidR="00C422E9" w:rsidRPr="009A66BD" w:rsidRDefault="00C85542" w:rsidP="00C422E9">
      <w:pPr>
        <w:spacing w:after="160" w:line="240" w:lineRule="auto"/>
        <w:ind w:firstLine="0"/>
        <w:rPr>
          <w:rFonts w:asciiTheme="minorHAnsi" w:eastAsia="SimSun" w:hAnsiTheme="minorHAnsi" w:cstheme="minorBidi"/>
          <w:sz w:val="22"/>
          <w:szCs w:val="22"/>
          <w:lang w:val="sq-AL" w:eastAsia="zh-CN"/>
        </w:rPr>
      </w:pPr>
      <w:r>
        <w:rPr>
          <w:rFonts w:asciiTheme="minorHAnsi" w:eastAsia="SimSun" w:hAnsiTheme="minorHAnsi" w:cstheme="minorBidi"/>
          <w:sz w:val="22"/>
          <w:szCs w:val="22"/>
          <w:lang w:val="sq-AL" w:eastAsia="zh-CN"/>
        </w:rPr>
        <w:t>Fush</w:t>
      </w:r>
      <w:r w:rsidR="006822F7">
        <w:rPr>
          <w:rFonts w:asciiTheme="minorHAnsi" w:eastAsia="SimSun" w:hAnsiTheme="minorHAnsi" w:cstheme="minorBidi"/>
          <w:sz w:val="22"/>
          <w:szCs w:val="22"/>
          <w:lang w:val="sq-AL" w:eastAsia="zh-CN"/>
        </w:rPr>
        <w:t>ë</w:t>
      </w:r>
      <w:r>
        <w:rPr>
          <w:rFonts w:asciiTheme="minorHAnsi" w:eastAsia="SimSun" w:hAnsiTheme="minorHAnsi" w:cstheme="minorBidi"/>
          <w:sz w:val="22"/>
          <w:szCs w:val="22"/>
          <w:lang w:val="sq-AL" w:eastAsia="zh-CN"/>
        </w:rPr>
        <w:t xml:space="preserve">veprimi </w:t>
      </w:r>
      <w:r w:rsidR="00370210" w:rsidRPr="00370210">
        <w:rPr>
          <w:rFonts w:asciiTheme="minorHAnsi" w:eastAsia="SimSun" w:hAnsiTheme="minorHAnsi" w:cstheme="minorBidi"/>
          <w:sz w:val="22"/>
          <w:szCs w:val="22"/>
          <w:lang w:val="sq-AL" w:eastAsia="zh-CN"/>
        </w:rPr>
        <w:t>i analizës përfshin klauzolat e mëposhtme të MNI-ve</w:t>
      </w:r>
      <w:r w:rsidR="00C422E9" w:rsidRPr="009A66BD">
        <w:rPr>
          <w:rFonts w:asciiTheme="minorHAnsi" w:eastAsia="SimSun" w:hAnsiTheme="minorHAnsi" w:cstheme="minorBidi"/>
          <w:sz w:val="22"/>
          <w:szCs w:val="22"/>
          <w:lang w:val="sq-AL" w:eastAsia="zh-CN"/>
        </w:rPr>
        <w:t>:</w:t>
      </w:r>
    </w:p>
    <w:p w14:paraId="10708D4F" w14:textId="54CE4FA9" w:rsidR="00370210" w:rsidRDefault="00C85542" w:rsidP="00370210">
      <w:pPr>
        <w:pStyle w:val="Default"/>
        <w:numPr>
          <w:ilvl w:val="0"/>
          <w:numId w:val="8"/>
        </w:numPr>
        <w:rPr>
          <w:rFonts w:asciiTheme="minorHAnsi" w:hAnsiTheme="minorHAnsi" w:cstheme="minorBidi"/>
          <w:color w:val="auto"/>
          <w:sz w:val="22"/>
          <w:szCs w:val="22"/>
          <w:lang w:val="sq-AL"/>
        </w:rPr>
      </w:pPr>
      <w:r>
        <w:rPr>
          <w:rFonts w:asciiTheme="minorHAnsi" w:hAnsiTheme="minorHAnsi" w:cstheme="minorBidi"/>
          <w:color w:val="auto"/>
          <w:sz w:val="22"/>
          <w:szCs w:val="22"/>
          <w:lang w:val="sq-AL"/>
        </w:rPr>
        <w:t>Fush</w:t>
      </w:r>
      <w:r w:rsidR="006822F7">
        <w:rPr>
          <w:rFonts w:asciiTheme="minorHAnsi" w:hAnsiTheme="minorHAnsi" w:cstheme="minorBidi"/>
          <w:color w:val="auto"/>
          <w:sz w:val="22"/>
          <w:szCs w:val="22"/>
          <w:lang w:val="sq-AL"/>
        </w:rPr>
        <w:t>ë</w:t>
      </w:r>
      <w:r>
        <w:rPr>
          <w:rFonts w:asciiTheme="minorHAnsi" w:hAnsiTheme="minorHAnsi" w:cstheme="minorBidi"/>
          <w:color w:val="auto"/>
          <w:sz w:val="22"/>
          <w:szCs w:val="22"/>
          <w:lang w:val="sq-AL"/>
        </w:rPr>
        <w:t xml:space="preserve">veprimi </w:t>
      </w:r>
      <w:r w:rsidR="00370210" w:rsidRPr="00370210">
        <w:rPr>
          <w:rFonts w:asciiTheme="minorHAnsi" w:hAnsiTheme="minorHAnsi" w:cstheme="minorBidi"/>
          <w:color w:val="auto"/>
          <w:sz w:val="22"/>
          <w:szCs w:val="22"/>
          <w:lang w:val="sq-AL"/>
        </w:rPr>
        <w:t xml:space="preserve">i </w:t>
      </w:r>
      <w:r>
        <w:rPr>
          <w:rFonts w:asciiTheme="minorHAnsi" w:hAnsiTheme="minorHAnsi" w:cstheme="minorBidi"/>
          <w:color w:val="auto"/>
          <w:sz w:val="22"/>
          <w:szCs w:val="22"/>
          <w:lang w:val="sq-AL"/>
        </w:rPr>
        <w:t xml:space="preserve">aplikimit </w:t>
      </w:r>
      <w:r w:rsidR="00370210" w:rsidRPr="00370210">
        <w:rPr>
          <w:rFonts w:asciiTheme="minorHAnsi" w:hAnsiTheme="minorHAnsi" w:cstheme="minorBidi"/>
          <w:color w:val="auto"/>
          <w:sz w:val="22"/>
          <w:szCs w:val="22"/>
          <w:lang w:val="sq-AL"/>
        </w:rPr>
        <w:t>të MNI-ve</w:t>
      </w:r>
    </w:p>
    <w:p w14:paraId="44166C7B" w14:textId="06C044E6" w:rsidR="00370210" w:rsidRDefault="00370210" w:rsidP="00370210">
      <w:pPr>
        <w:pStyle w:val="Default"/>
        <w:numPr>
          <w:ilvl w:val="1"/>
          <w:numId w:val="8"/>
        </w:numPr>
        <w:rPr>
          <w:rFonts w:asciiTheme="minorHAnsi" w:hAnsiTheme="minorHAnsi" w:cstheme="minorBidi"/>
          <w:color w:val="auto"/>
          <w:sz w:val="22"/>
          <w:szCs w:val="22"/>
          <w:lang w:val="sq-AL"/>
        </w:rPr>
      </w:pPr>
      <w:r w:rsidRPr="00370210">
        <w:rPr>
          <w:rFonts w:asciiTheme="minorHAnsi" w:hAnsiTheme="minorHAnsi" w:cstheme="minorBidi"/>
          <w:color w:val="auto"/>
          <w:sz w:val="22"/>
          <w:szCs w:val="22"/>
          <w:lang w:val="sq-AL"/>
        </w:rPr>
        <w:t xml:space="preserve">Mbulimi </w:t>
      </w:r>
      <w:r w:rsidR="00C85542">
        <w:rPr>
          <w:rFonts w:asciiTheme="minorHAnsi" w:hAnsiTheme="minorHAnsi" w:cstheme="minorBidi"/>
          <w:color w:val="auto"/>
          <w:sz w:val="22"/>
          <w:szCs w:val="22"/>
          <w:lang w:val="sq-AL"/>
        </w:rPr>
        <w:t xml:space="preserve">i </w:t>
      </w:r>
      <w:r w:rsidRPr="00370210">
        <w:rPr>
          <w:rFonts w:asciiTheme="minorHAnsi" w:hAnsiTheme="minorHAnsi" w:cstheme="minorBidi"/>
          <w:color w:val="auto"/>
          <w:sz w:val="22"/>
          <w:szCs w:val="22"/>
          <w:lang w:val="sq-AL"/>
        </w:rPr>
        <w:t>para-themelimit kundrejt  pas-themelimit</w:t>
      </w:r>
    </w:p>
    <w:p w14:paraId="479023FA" w14:textId="77777777" w:rsidR="00370210" w:rsidRDefault="00370210" w:rsidP="00370210">
      <w:pPr>
        <w:pStyle w:val="Default"/>
        <w:numPr>
          <w:ilvl w:val="1"/>
          <w:numId w:val="8"/>
        </w:numPr>
        <w:rPr>
          <w:rFonts w:asciiTheme="minorHAnsi" w:hAnsiTheme="minorHAnsi" w:cstheme="minorBidi"/>
          <w:color w:val="auto"/>
          <w:sz w:val="22"/>
          <w:szCs w:val="22"/>
          <w:lang w:val="sq-AL"/>
        </w:rPr>
      </w:pPr>
      <w:r w:rsidRPr="00370210">
        <w:rPr>
          <w:rFonts w:asciiTheme="minorHAnsi" w:hAnsiTheme="minorHAnsi" w:cstheme="minorBidi"/>
          <w:color w:val="auto"/>
          <w:sz w:val="22"/>
          <w:szCs w:val="22"/>
          <w:lang w:val="sq-AL"/>
        </w:rPr>
        <w:t>Përkufizimi i investimit</w:t>
      </w:r>
    </w:p>
    <w:p w14:paraId="7360FB93" w14:textId="77777777" w:rsidR="00AE58D1" w:rsidRDefault="00AE58D1" w:rsidP="00AE58D1">
      <w:pPr>
        <w:pStyle w:val="Default"/>
        <w:numPr>
          <w:ilvl w:val="1"/>
          <w:numId w:val="8"/>
        </w:numPr>
        <w:rPr>
          <w:rFonts w:asciiTheme="minorHAnsi" w:hAnsiTheme="minorHAnsi" w:cstheme="minorBidi"/>
          <w:color w:val="auto"/>
          <w:sz w:val="22"/>
          <w:szCs w:val="22"/>
          <w:lang w:val="sq-AL"/>
        </w:rPr>
      </w:pPr>
      <w:r w:rsidRPr="00AE58D1">
        <w:rPr>
          <w:rFonts w:asciiTheme="minorHAnsi" w:hAnsiTheme="minorHAnsi" w:cstheme="minorBidi"/>
          <w:color w:val="auto"/>
          <w:sz w:val="22"/>
          <w:szCs w:val="22"/>
          <w:lang w:val="sq-AL"/>
        </w:rPr>
        <w:t>Përkufizimi i investitorit</w:t>
      </w:r>
    </w:p>
    <w:p w14:paraId="25F27F41" w14:textId="7D806678" w:rsidR="00AE58D1" w:rsidRDefault="00C85542" w:rsidP="00AE58D1">
      <w:pPr>
        <w:pStyle w:val="Default"/>
        <w:numPr>
          <w:ilvl w:val="1"/>
          <w:numId w:val="8"/>
        </w:numPr>
        <w:rPr>
          <w:rFonts w:asciiTheme="minorHAnsi" w:hAnsiTheme="minorHAnsi" w:cstheme="minorBidi"/>
          <w:color w:val="auto"/>
          <w:sz w:val="22"/>
          <w:szCs w:val="22"/>
          <w:lang w:val="sq-AL"/>
        </w:rPr>
      </w:pPr>
      <w:r>
        <w:rPr>
          <w:rFonts w:asciiTheme="minorHAnsi" w:hAnsiTheme="minorHAnsi" w:cstheme="minorBidi"/>
          <w:color w:val="auto"/>
          <w:sz w:val="22"/>
          <w:szCs w:val="22"/>
          <w:lang w:val="sq-AL"/>
        </w:rPr>
        <w:t>Klauzola e mohimit t</w:t>
      </w:r>
      <w:r w:rsidR="006822F7">
        <w:rPr>
          <w:rFonts w:asciiTheme="minorHAnsi" w:hAnsiTheme="minorHAnsi" w:cstheme="minorBidi"/>
          <w:color w:val="auto"/>
          <w:sz w:val="22"/>
          <w:szCs w:val="22"/>
          <w:lang w:val="sq-AL"/>
        </w:rPr>
        <w:t>ë</w:t>
      </w:r>
      <w:r>
        <w:rPr>
          <w:rFonts w:asciiTheme="minorHAnsi" w:hAnsiTheme="minorHAnsi" w:cstheme="minorBidi"/>
          <w:color w:val="auto"/>
          <w:sz w:val="22"/>
          <w:szCs w:val="22"/>
          <w:lang w:val="sq-AL"/>
        </w:rPr>
        <w:t xml:space="preserve"> </w:t>
      </w:r>
      <w:r w:rsidR="00AE58D1" w:rsidRPr="00AE58D1">
        <w:rPr>
          <w:rFonts w:asciiTheme="minorHAnsi" w:hAnsiTheme="minorHAnsi" w:cstheme="minorBidi"/>
          <w:color w:val="auto"/>
          <w:sz w:val="22"/>
          <w:szCs w:val="22"/>
          <w:lang w:val="sq-AL"/>
        </w:rPr>
        <w:t>përfitimeve</w:t>
      </w:r>
    </w:p>
    <w:p w14:paraId="527BC6A4" w14:textId="7D6DCD0C" w:rsidR="00AE58D1" w:rsidRDefault="00C85542" w:rsidP="00AE58D1">
      <w:pPr>
        <w:pStyle w:val="Default"/>
        <w:numPr>
          <w:ilvl w:val="1"/>
          <w:numId w:val="8"/>
        </w:numPr>
        <w:rPr>
          <w:rFonts w:asciiTheme="minorHAnsi" w:hAnsiTheme="minorHAnsi" w:cstheme="minorBidi"/>
          <w:color w:val="auto"/>
          <w:sz w:val="22"/>
          <w:szCs w:val="22"/>
          <w:lang w:val="sq-AL"/>
        </w:rPr>
      </w:pPr>
      <w:r>
        <w:rPr>
          <w:rFonts w:asciiTheme="minorHAnsi" w:hAnsiTheme="minorHAnsi" w:cstheme="minorBidi"/>
          <w:color w:val="auto"/>
          <w:sz w:val="22"/>
          <w:szCs w:val="22"/>
          <w:lang w:val="sq-AL"/>
        </w:rPr>
        <w:t>Fush</w:t>
      </w:r>
      <w:r w:rsidR="006822F7">
        <w:rPr>
          <w:rFonts w:asciiTheme="minorHAnsi" w:hAnsiTheme="minorHAnsi" w:cstheme="minorBidi"/>
          <w:color w:val="auto"/>
          <w:sz w:val="22"/>
          <w:szCs w:val="22"/>
          <w:lang w:val="sq-AL"/>
        </w:rPr>
        <w:t>ë</w:t>
      </w:r>
      <w:r>
        <w:rPr>
          <w:rFonts w:asciiTheme="minorHAnsi" w:hAnsiTheme="minorHAnsi" w:cstheme="minorBidi"/>
          <w:color w:val="auto"/>
          <w:sz w:val="22"/>
          <w:szCs w:val="22"/>
          <w:lang w:val="sq-AL"/>
        </w:rPr>
        <w:t xml:space="preserve">veprimi </w:t>
      </w:r>
      <w:r w:rsidR="00AE58D1" w:rsidRPr="00AE58D1">
        <w:rPr>
          <w:rFonts w:asciiTheme="minorHAnsi" w:hAnsiTheme="minorHAnsi" w:cstheme="minorBidi"/>
          <w:color w:val="auto"/>
          <w:sz w:val="22"/>
          <w:szCs w:val="22"/>
          <w:lang w:val="sq-AL"/>
        </w:rPr>
        <w:t>i përkohshëm</w:t>
      </w:r>
    </w:p>
    <w:p w14:paraId="19F108BC" w14:textId="77777777" w:rsidR="00AE58D1" w:rsidRDefault="00AE58D1" w:rsidP="00AE58D1">
      <w:pPr>
        <w:pStyle w:val="Default"/>
        <w:numPr>
          <w:ilvl w:val="0"/>
          <w:numId w:val="8"/>
        </w:numPr>
        <w:rPr>
          <w:rFonts w:asciiTheme="minorHAnsi" w:hAnsiTheme="minorHAnsi" w:cstheme="minorBidi"/>
          <w:color w:val="auto"/>
          <w:sz w:val="22"/>
          <w:szCs w:val="22"/>
          <w:lang w:val="sq-AL"/>
        </w:rPr>
      </w:pPr>
      <w:r w:rsidRPr="00AE58D1">
        <w:rPr>
          <w:rFonts w:asciiTheme="minorHAnsi" w:hAnsiTheme="minorHAnsi" w:cstheme="minorBidi"/>
          <w:color w:val="auto"/>
          <w:sz w:val="22"/>
          <w:szCs w:val="22"/>
          <w:lang w:val="sq-AL"/>
        </w:rPr>
        <w:t>Standardet e trajtimit</w:t>
      </w:r>
    </w:p>
    <w:p w14:paraId="69314343" w14:textId="77777777" w:rsidR="00AE58D1" w:rsidRDefault="00AE58D1" w:rsidP="00AE58D1">
      <w:pPr>
        <w:pStyle w:val="Default"/>
        <w:numPr>
          <w:ilvl w:val="1"/>
          <w:numId w:val="8"/>
        </w:numPr>
        <w:rPr>
          <w:rFonts w:asciiTheme="minorHAnsi" w:hAnsiTheme="minorHAnsi" w:cstheme="minorBidi"/>
          <w:color w:val="auto"/>
          <w:sz w:val="22"/>
          <w:szCs w:val="22"/>
          <w:lang w:val="sq-AL"/>
        </w:rPr>
      </w:pPr>
      <w:r w:rsidRPr="00AE58D1">
        <w:rPr>
          <w:rFonts w:asciiTheme="minorHAnsi" w:hAnsiTheme="minorHAnsi" w:cstheme="minorBidi"/>
          <w:color w:val="auto"/>
          <w:sz w:val="22"/>
          <w:szCs w:val="22"/>
          <w:lang w:val="sq-AL"/>
        </w:rPr>
        <w:t>Trajtimi Kombëtar</w:t>
      </w:r>
    </w:p>
    <w:p w14:paraId="6E54B4A0" w14:textId="77777777" w:rsidR="00AE58D1" w:rsidRDefault="00AE58D1" w:rsidP="00AE58D1">
      <w:pPr>
        <w:pStyle w:val="Default"/>
        <w:numPr>
          <w:ilvl w:val="1"/>
          <w:numId w:val="8"/>
        </w:numPr>
        <w:rPr>
          <w:rFonts w:asciiTheme="minorHAnsi" w:hAnsiTheme="minorHAnsi" w:cstheme="minorBidi"/>
          <w:color w:val="auto"/>
          <w:sz w:val="22"/>
          <w:szCs w:val="22"/>
          <w:lang w:val="sq-AL"/>
        </w:rPr>
      </w:pPr>
      <w:r w:rsidRPr="00AE58D1">
        <w:rPr>
          <w:rFonts w:asciiTheme="minorHAnsi" w:hAnsiTheme="minorHAnsi" w:cstheme="minorBidi"/>
          <w:color w:val="auto"/>
          <w:sz w:val="22"/>
          <w:szCs w:val="22"/>
          <w:lang w:val="sq-AL"/>
        </w:rPr>
        <w:lastRenderedPageBreak/>
        <w:t>Trajtimi i kombit më të favorizuar</w:t>
      </w:r>
    </w:p>
    <w:p w14:paraId="6E481D0B" w14:textId="77777777" w:rsidR="00097421" w:rsidRDefault="00097421" w:rsidP="00097421">
      <w:pPr>
        <w:pStyle w:val="Default"/>
        <w:numPr>
          <w:ilvl w:val="1"/>
          <w:numId w:val="8"/>
        </w:numPr>
        <w:rPr>
          <w:rFonts w:asciiTheme="minorHAnsi" w:hAnsiTheme="minorHAnsi" w:cstheme="minorBidi"/>
          <w:color w:val="auto"/>
          <w:sz w:val="22"/>
          <w:szCs w:val="22"/>
          <w:lang w:val="sq-AL"/>
        </w:rPr>
      </w:pPr>
      <w:r w:rsidRPr="00097421">
        <w:rPr>
          <w:rFonts w:asciiTheme="minorHAnsi" w:hAnsiTheme="minorHAnsi" w:cstheme="minorBidi"/>
          <w:color w:val="auto"/>
          <w:sz w:val="22"/>
          <w:szCs w:val="22"/>
          <w:lang w:val="sq-AL"/>
        </w:rPr>
        <w:t>Standardi minimal i trajtimit</w:t>
      </w:r>
    </w:p>
    <w:p w14:paraId="52E5B3B2" w14:textId="77777777" w:rsidR="00097421" w:rsidRDefault="00097421" w:rsidP="00097421">
      <w:pPr>
        <w:pStyle w:val="Default"/>
        <w:numPr>
          <w:ilvl w:val="1"/>
          <w:numId w:val="8"/>
        </w:numPr>
        <w:rPr>
          <w:rFonts w:asciiTheme="minorHAnsi" w:hAnsiTheme="minorHAnsi" w:cstheme="minorBidi"/>
          <w:color w:val="auto"/>
          <w:sz w:val="22"/>
          <w:szCs w:val="22"/>
          <w:lang w:val="sq-AL"/>
        </w:rPr>
      </w:pPr>
      <w:r w:rsidRPr="00097421">
        <w:rPr>
          <w:rFonts w:asciiTheme="minorHAnsi" w:hAnsiTheme="minorHAnsi" w:cstheme="minorBidi"/>
          <w:color w:val="auto"/>
          <w:sz w:val="22"/>
          <w:szCs w:val="22"/>
          <w:lang w:val="sq-AL"/>
        </w:rPr>
        <w:t>Shpronësimi</w:t>
      </w:r>
    </w:p>
    <w:p w14:paraId="259F30FB" w14:textId="77777777" w:rsidR="00097421" w:rsidRDefault="00097421" w:rsidP="00097421">
      <w:pPr>
        <w:pStyle w:val="Default"/>
        <w:numPr>
          <w:ilvl w:val="1"/>
          <w:numId w:val="8"/>
        </w:numPr>
        <w:rPr>
          <w:rFonts w:asciiTheme="minorHAnsi" w:hAnsiTheme="minorHAnsi" w:cstheme="minorBidi"/>
          <w:color w:val="auto"/>
          <w:sz w:val="22"/>
          <w:szCs w:val="22"/>
          <w:lang w:val="sq-AL"/>
        </w:rPr>
      </w:pPr>
      <w:r w:rsidRPr="00097421">
        <w:rPr>
          <w:rFonts w:asciiTheme="minorHAnsi" w:hAnsiTheme="minorHAnsi" w:cstheme="minorBidi"/>
          <w:color w:val="auto"/>
          <w:sz w:val="22"/>
          <w:szCs w:val="22"/>
          <w:lang w:val="sq-AL"/>
        </w:rPr>
        <w:t>Mbrojtja nga konfliktet</w:t>
      </w:r>
    </w:p>
    <w:p w14:paraId="504B55B6" w14:textId="77777777" w:rsidR="00D252CC" w:rsidRDefault="00D252CC" w:rsidP="00D252CC">
      <w:pPr>
        <w:pStyle w:val="Default"/>
        <w:numPr>
          <w:ilvl w:val="1"/>
          <w:numId w:val="8"/>
        </w:numPr>
        <w:rPr>
          <w:rFonts w:asciiTheme="minorHAnsi" w:hAnsiTheme="minorHAnsi" w:cstheme="minorBidi"/>
          <w:color w:val="auto"/>
          <w:sz w:val="22"/>
          <w:szCs w:val="22"/>
          <w:lang w:val="sq-AL"/>
        </w:rPr>
      </w:pPr>
      <w:r w:rsidRPr="00D252CC">
        <w:rPr>
          <w:rFonts w:asciiTheme="minorHAnsi" w:hAnsiTheme="minorHAnsi" w:cstheme="minorBidi"/>
          <w:color w:val="auto"/>
          <w:sz w:val="22"/>
          <w:szCs w:val="22"/>
          <w:lang w:val="sq-AL"/>
        </w:rPr>
        <w:t>Transferimi i fondeve</w:t>
      </w:r>
    </w:p>
    <w:p w14:paraId="6AD00CAB" w14:textId="77777777" w:rsidR="00BF07F2" w:rsidRDefault="00BF07F2" w:rsidP="00BF07F2">
      <w:pPr>
        <w:pStyle w:val="Default"/>
        <w:numPr>
          <w:ilvl w:val="0"/>
          <w:numId w:val="8"/>
        </w:numPr>
        <w:rPr>
          <w:rFonts w:asciiTheme="minorHAnsi" w:hAnsiTheme="minorHAnsi" w:cstheme="minorBidi"/>
          <w:color w:val="auto"/>
          <w:sz w:val="22"/>
          <w:szCs w:val="22"/>
          <w:lang w:val="sq-AL"/>
        </w:rPr>
      </w:pPr>
      <w:proofErr w:type="spellStart"/>
      <w:r w:rsidRPr="00BF07F2">
        <w:rPr>
          <w:rFonts w:asciiTheme="minorHAnsi" w:hAnsiTheme="minorHAnsi" w:cstheme="minorBidi"/>
          <w:color w:val="auto"/>
          <w:sz w:val="22"/>
          <w:szCs w:val="22"/>
          <w:lang w:val="sq-AL"/>
        </w:rPr>
        <w:t>Menaxhmenti</w:t>
      </w:r>
      <w:proofErr w:type="spellEnd"/>
      <w:r w:rsidRPr="00BF07F2">
        <w:rPr>
          <w:rFonts w:asciiTheme="minorHAnsi" w:hAnsiTheme="minorHAnsi" w:cstheme="minorBidi"/>
          <w:color w:val="auto"/>
          <w:sz w:val="22"/>
          <w:szCs w:val="22"/>
          <w:lang w:val="sq-AL"/>
        </w:rPr>
        <w:t xml:space="preserve"> i lartë</w:t>
      </w:r>
    </w:p>
    <w:p w14:paraId="0B4EDFBB" w14:textId="77777777" w:rsidR="00BF07F2" w:rsidRDefault="00BF07F2" w:rsidP="00BF07F2">
      <w:pPr>
        <w:pStyle w:val="Default"/>
        <w:numPr>
          <w:ilvl w:val="0"/>
          <w:numId w:val="8"/>
        </w:numPr>
        <w:rPr>
          <w:rFonts w:asciiTheme="minorHAnsi" w:hAnsiTheme="minorHAnsi" w:cstheme="minorBidi"/>
          <w:color w:val="auto"/>
          <w:sz w:val="22"/>
          <w:szCs w:val="22"/>
          <w:lang w:val="sq-AL"/>
        </w:rPr>
      </w:pPr>
      <w:r w:rsidRPr="00BF07F2">
        <w:rPr>
          <w:rFonts w:asciiTheme="minorHAnsi" w:hAnsiTheme="minorHAnsi" w:cstheme="minorBidi"/>
          <w:color w:val="auto"/>
          <w:sz w:val="22"/>
          <w:szCs w:val="22"/>
          <w:lang w:val="sq-AL"/>
        </w:rPr>
        <w:t xml:space="preserve">Kërkesat e </w:t>
      </w:r>
      <w:proofErr w:type="spellStart"/>
      <w:r w:rsidRPr="00BF07F2">
        <w:rPr>
          <w:rFonts w:asciiTheme="minorHAnsi" w:hAnsiTheme="minorHAnsi" w:cstheme="minorBidi"/>
          <w:color w:val="auto"/>
          <w:sz w:val="22"/>
          <w:szCs w:val="22"/>
          <w:lang w:val="sq-AL"/>
        </w:rPr>
        <w:t>performancës</w:t>
      </w:r>
      <w:proofErr w:type="spellEnd"/>
    </w:p>
    <w:p w14:paraId="72DC5CE4" w14:textId="77777777" w:rsidR="00BF07F2" w:rsidRDefault="00BF07F2" w:rsidP="00BF07F2">
      <w:pPr>
        <w:pStyle w:val="Default"/>
        <w:numPr>
          <w:ilvl w:val="0"/>
          <w:numId w:val="8"/>
        </w:numPr>
        <w:rPr>
          <w:rFonts w:asciiTheme="minorHAnsi" w:hAnsiTheme="minorHAnsi" w:cstheme="minorBidi"/>
          <w:color w:val="auto"/>
          <w:sz w:val="22"/>
          <w:szCs w:val="22"/>
          <w:lang w:val="sq-AL"/>
        </w:rPr>
      </w:pPr>
      <w:r w:rsidRPr="00BF07F2">
        <w:rPr>
          <w:rFonts w:asciiTheme="minorHAnsi" w:hAnsiTheme="minorHAnsi" w:cstheme="minorBidi"/>
          <w:color w:val="auto"/>
          <w:sz w:val="22"/>
          <w:szCs w:val="22"/>
          <w:lang w:val="sq-AL"/>
        </w:rPr>
        <w:t>Bilanci ndërmjet mbrojtjes së investimeve dhe rregullimit të politikave publike</w:t>
      </w:r>
    </w:p>
    <w:p w14:paraId="6294E7FB" w14:textId="77777777" w:rsidR="00BF07F2" w:rsidRDefault="00BF07F2" w:rsidP="00BF07F2">
      <w:pPr>
        <w:pStyle w:val="Default"/>
        <w:numPr>
          <w:ilvl w:val="1"/>
          <w:numId w:val="8"/>
        </w:numPr>
        <w:rPr>
          <w:rFonts w:asciiTheme="minorHAnsi" w:hAnsiTheme="minorHAnsi" w:cstheme="minorBidi"/>
          <w:color w:val="auto"/>
          <w:sz w:val="22"/>
          <w:szCs w:val="22"/>
          <w:lang w:val="sq-AL"/>
        </w:rPr>
      </w:pPr>
      <w:r w:rsidRPr="00BF07F2">
        <w:rPr>
          <w:rFonts w:asciiTheme="minorHAnsi" w:hAnsiTheme="minorHAnsi" w:cstheme="minorBidi"/>
          <w:color w:val="auto"/>
          <w:sz w:val="22"/>
          <w:szCs w:val="22"/>
          <w:lang w:val="sq-AL"/>
        </w:rPr>
        <w:t>Përjashtimet dhe rezervat</w:t>
      </w:r>
    </w:p>
    <w:p w14:paraId="2FC9834A" w14:textId="1169017E" w:rsidR="00FB104E" w:rsidRDefault="00FB104E" w:rsidP="00FB104E">
      <w:pPr>
        <w:pStyle w:val="Default"/>
        <w:numPr>
          <w:ilvl w:val="1"/>
          <w:numId w:val="8"/>
        </w:numPr>
        <w:rPr>
          <w:rFonts w:asciiTheme="minorHAnsi" w:hAnsiTheme="minorHAnsi" w:cstheme="minorBidi"/>
          <w:color w:val="auto"/>
          <w:sz w:val="22"/>
          <w:szCs w:val="22"/>
          <w:lang w:val="sq-AL"/>
        </w:rPr>
      </w:pPr>
      <w:r w:rsidRPr="00FB104E">
        <w:rPr>
          <w:rFonts w:asciiTheme="minorHAnsi" w:hAnsiTheme="minorHAnsi" w:cstheme="minorBidi"/>
          <w:color w:val="auto"/>
          <w:sz w:val="22"/>
          <w:szCs w:val="22"/>
          <w:lang w:val="sq-AL"/>
        </w:rPr>
        <w:t xml:space="preserve">Referenca </w:t>
      </w:r>
      <w:r w:rsidR="00C85542">
        <w:rPr>
          <w:rFonts w:asciiTheme="minorHAnsi" w:hAnsiTheme="minorHAnsi" w:cstheme="minorBidi"/>
          <w:color w:val="auto"/>
          <w:sz w:val="22"/>
          <w:szCs w:val="22"/>
          <w:lang w:val="sq-AL"/>
        </w:rPr>
        <w:t xml:space="preserve">ndaj </w:t>
      </w:r>
      <w:r w:rsidRPr="00FB104E">
        <w:rPr>
          <w:rFonts w:asciiTheme="minorHAnsi" w:hAnsiTheme="minorHAnsi" w:cstheme="minorBidi"/>
          <w:color w:val="auto"/>
          <w:sz w:val="22"/>
          <w:szCs w:val="22"/>
          <w:lang w:val="sq-AL"/>
        </w:rPr>
        <w:t>të drejtës për të rregulluar</w:t>
      </w:r>
    </w:p>
    <w:p w14:paraId="6D74835D" w14:textId="77777777" w:rsidR="00FB104E" w:rsidRPr="00FB104E" w:rsidRDefault="00FB104E" w:rsidP="00FB104E">
      <w:pPr>
        <w:pStyle w:val="Default"/>
        <w:numPr>
          <w:ilvl w:val="1"/>
          <w:numId w:val="8"/>
        </w:numPr>
        <w:rPr>
          <w:rFonts w:asciiTheme="minorHAnsi" w:hAnsiTheme="minorHAnsi" w:cstheme="minorHAnsi"/>
          <w:color w:val="auto"/>
          <w:sz w:val="22"/>
          <w:szCs w:val="22"/>
          <w:lang w:val="sq-AL"/>
        </w:rPr>
      </w:pPr>
      <w:r w:rsidRPr="00FB104E">
        <w:rPr>
          <w:rFonts w:asciiTheme="minorHAnsi" w:hAnsiTheme="minorHAnsi" w:cstheme="minorBidi"/>
          <w:color w:val="auto"/>
          <w:sz w:val="22"/>
          <w:szCs w:val="22"/>
          <w:lang w:val="sq-AL"/>
        </w:rPr>
        <w:t>Shëndeti dhe mjedisi</w:t>
      </w:r>
    </w:p>
    <w:p w14:paraId="00707FB8" w14:textId="77777777" w:rsidR="00FB104E" w:rsidRPr="00FB104E" w:rsidRDefault="00FB104E" w:rsidP="00FB104E">
      <w:pPr>
        <w:pStyle w:val="Default"/>
        <w:numPr>
          <w:ilvl w:val="1"/>
          <w:numId w:val="8"/>
        </w:numPr>
        <w:rPr>
          <w:rFonts w:asciiTheme="minorHAnsi" w:hAnsiTheme="minorHAnsi" w:cstheme="minorBidi"/>
          <w:color w:val="auto"/>
          <w:sz w:val="22"/>
          <w:szCs w:val="22"/>
          <w:lang w:val="sq-AL"/>
        </w:rPr>
      </w:pPr>
      <w:r w:rsidRPr="00FB104E">
        <w:rPr>
          <w:rFonts w:asciiTheme="minorHAnsi" w:hAnsiTheme="minorHAnsi" w:cstheme="minorHAnsi"/>
          <w:color w:val="auto"/>
          <w:sz w:val="22"/>
          <w:szCs w:val="22"/>
          <w:lang w:val="sq-AL"/>
        </w:rPr>
        <w:t>Standardet e punës</w:t>
      </w:r>
    </w:p>
    <w:p w14:paraId="214A0ED2" w14:textId="04B5F907" w:rsidR="00FB104E" w:rsidRDefault="00FB104E" w:rsidP="00FB104E">
      <w:pPr>
        <w:pStyle w:val="Default"/>
        <w:numPr>
          <w:ilvl w:val="1"/>
          <w:numId w:val="8"/>
        </w:numPr>
        <w:rPr>
          <w:rFonts w:asciiTheme="minorHAnsi" w:hAnsiTheme="minorHAnsi" w:cstheme="minorBidi"/>
          <w:color w:val="auto"/>
          <w:sz w:val="22"/>
          <w:szCs w:val="22"/>
          <w:lang w:val="sq-AL"/>
        </w:rPr>
      </w:pPr>
      <w:r w:rsidRPr="00FB104E">
        <w:rPr>
          <w:rFonts w:asciiTheme="minorHAnsi" w:hAnsiTheme="minorHAnsi" w:cstheme="minorBidi"/>
          <w:color w:val="auto"/>
          <w:sz w:val="22"/>
          <w:szCs w:val="22"/>
          <w:lang w:val="sq-AL"/>
        </w:rPr>
        <w:t xml:space="preserve">Përgjegjësia sociale </w:t>
      </w:r>
      <w:proofErr w:type="spellStart"/>
      <w:r w:rsidR="00C85542">
        <w:rPr>
          <w:rFonts w:asciiTheme="minorHAnsi" w:hAnsiTheme="minorHAnsi" w:cstheme="minorBidi"/>
          <w:color w:val="auto"/>
          <w:sz w:val="22"/>
          <w:szCs w:val="22"/>
          <w:lang w:val="sq-AL"/>
        </w:rPr>
        <w:t>korporative</w:t>
      </w:r>
      <w:proofErr w:type="spellEnd"/>
    </w:p>
    <w:p w14:paraId="69B82375" w14:textId="377B0441" w:rsidR="00C422E9" w:rsidRPr="009A66BD" w:rsidRDefault="00FB104E" w:rsidP="00FB104E">
      <w:pPr>
        <w:pStyle w:val="Default"/>
        <w:numPr>
          <w:ilvl w:val="1"/>
          <w:numId w:val="8"/>
        </w:numPr>
        <w:rPr>
          <w:rFonts w:asciiTheme="minorHAnsi" w:hAnsiTheme="minorHAnsi" w:cstheme="minorBidi"/>
          <w:color w:val="auto"/>
          <w:sz w:val="22"/>
          <w:szCs w:val="22"/>
          <w:lang w:val="sq-AL"/>
        </w:rPr>
      </w:pPr>
      <w:r>
        <w:rPr>
          <w:rFonts w:asciiTheme="minorHAnsi" w:hAnsiTheme="minorHAnsi" w:cstheme="minorBidi"/>
          <w:color w:val="auto"/>
          <w:sz w:val="22"/>
          <w:szCs w:val="22"/>
          <w:lang w:val="sq-AL"/>
        </w:rPr>
        <w:t>Korrupsioni</w:t>
      </w:r>
    </w:p>
    <w:p w14:paraId="58352029" w14:textId="742C5FBC" w:rsidR="00C422E9" w:rsidRPr="009A66BD" w:rsidRDefault="00FB104E" w:rsidP="00C422E9">
      <w:pPr>
        <w:pStyle w:val="Default"/>
        <w:numPr>
          <w:ilvl w:val="0"/>
          <w:numId w:val="8"/>
        </w:numPr>
        <w:rPr>
          <w:rFonts w:asciiTheme="minorHAnsi" w:hAnsiTheme="minorHAnsi" w:cstheme="minorBidi"/>
          <w:color w:val="auto"/>
          <w:sz w:val="22"/>
          <w:szCs w:val="22"/>
          <w:lang w:val="sq-AL"/>
        </w:rPr>
      </w:pPr>
      <w:r w:rsidRPr="009A66BD">
        <w:rPr>
          <w:rFonts w:asciiTheme="minorHAnsi" w:hAnsiTheme="minorHAnsi" w:cstheme="minorBidi"/>
          <w:color w:val="auto"/>
          <w:sz w:val="22"/>
          <w:szCs w:val="22"/>
          <w:lang w:val="sq-AL"/>
        </w:rPr>
        <w:t>Tr</w:t>
      </w:r>
      <w:r>
        <w:rPr>
          <w:rFonts w:asciiTheme="minorHAnsi" w:hAnsiTheme="minorHAnsi" w:cstheme="minorBidi"/>
          <w:color w:val="auto"/>
          <w:sz w:val="22"/>
          <w:szCs w:val="22"/>
          <w:lang w:val="sq-AL"/>
        </w:rPr>
        <w:t>ansparenca</w:t>
      </w:r>
    </w:p>
    <w:p w14:paraId="036443D9" w14:textId="77777777" w:rsidR="00FB104E" w:rsidRDefault="00FB104E" w:rsidP="00FB104E">
      <w:pPr>
        <w:pStyle w:val="Default"/>
        <w:numPr>
          <w:ilvl w:val="0"/>
          <w:numId w:val="8"/>
        </w:numPr>
        <w:rPr>
          <w:rFonts w:asciiTheme="minorHAnsi" w:hAnsiTheme="minorHAnsi" w:cstheme="minorBidi"/>
          <w:color w:val="auto"/>
          <w:sz w:val="22"/>
          <w:szCs w:val="22"/>
          <w:lang w:val="sq-AL"/>
        </w:rPr>
      </w:pPr>
      <w:r w:rsidRPr="00FB104E">
        <w:rPr>
          <w:rFonts w:asciiTheme="minorHAnsi" w:hAnsiTheme="minorHAnsi" w:cstheme="minorBidi"/>
          <w:color w:val="auto"/>
          <w:sz w:val="22"/>
          <w:szCs w:val="22"/>
          <w:lang w:val="sq-AL"/>
        </w:rPr>
        <w:t>Zgjidhja e mosmarrëveshjeve</w:t>
      </w:r>
    </w:p>
    <w:p w14:paraId="36F60551" w14:textId="1FFF1AD2" w:rsidR="00FB104E" w:rsidRDefault="00FB104E" w:rsidP="00FB104E">
      <w:pPr>
        <w:pStyle w:val="Default"/>
        <w:numPr>
          <w:ilvl w:val="1"/>
          <w:numId w:val="8"/>
        </w:numPr>
        <w:rPr>
          <w:rFonts w:asciiTheme="minorHAnsi" w:hAnsiTheme="minorHAnsi" w:cstheme="minorBidi"/>
          <w:color w:val="auto"/>
          <w:sz w:val="22"/>
          <w:szCs w:val="22"/>
          <w:lang w:val="sq-AL"/>
        </w:rPr>
      </w:pPr>
      <w:r w:rsidRPr="00FB104E">
        <w:rPr>
          <w:rFonts w:asciiTheme="minorHAnsi" w:hAnsiTheme="minorHAnsi" w:cstheme="minorBidi"/>
          <w:color w:val="auto"/>
          <w:sz w:val="22"/>
          <w:szCs w:val="22"/>
          <w:lang w:val="sq-AL"/>
        </w:rPr>
        <w:t xml:space="preserve">Shtet </w:t>
      </w:r>
      <w:r w:rsidR="00C85542">
        <w:rPr>
          <w:rFonts w:asciiTheme="minorHAnsi" w:hAnsiTheme="minorHAnsi" w:cstheme="minorBidi"/>
          <w:color w:val="auto"/>
          <w:sz w:val="22"/>
          <w:szCs w:val="22"/>
          <w:lang w:val="sq-AL"/>
        </w:rPr>
        <w:t>me</w:t>
      </w:r>
      <w:r w:rsidRPr="00FB104E">
        <w:rPr>
          <w:rFonts w:asciiTheme="minorHAnsi" w:hAnsiTheme="minorHAnsi" w:cstheme="minorBidi"/>
          <w:color w:val="auto"/>
          <w:sz w:val="22"/>
          <w:szCs w:val="22"/>
          <w:lang w:val="sq-AL"/>
        </w:rPr>
        <w:t xml:space="preserve"> Shtet</w:t>
      </w:r>
    </w:p>
    <w:p w14:paraId="3AABFCC5" w14:textId="228A6DFF" w:rsidR="00C422E9" w:rsidRPr="009A66BD" w:rsidRDefault="00FB104E" w:rsidP="00FB104E">
      <w:pPr>
        <w:pStyle w:val="Default"/>
        <w:numPr>
          <w:ilvl w:val="1"/>
          <w:numId w:val="8"/>
        </w:numPr>
        <w:rPr>
          <w:rFonts w:asciiTheme="minorHAnsi" w:hAnsiTheme="minorHAnsi" w:cstheme="minorBidi"/>
          <w:color w:val="auto"/>
          <w:sz w:val="22"/>
          <w:szCs w:val="22"/>
          <w:lang w:val="sq-AL"/>
        </w:rPr>
      </w:pPr>
      <w:r w:rsidRPr="00FB104E">
        <w:rPr>
          <w:rFonts w:asciiTheme="minorHAnsi" w:hAnsiTheme="minorHAnsi" w:cstheme="minorBidi"/>
          <w:color w:val="auto"/>
          <w:sz w:val="22"/>
          <w:szCs w:val="22"/>
          <w:lang w:val="sq-AL"/>
        </w:rPr>
        <w:t>Zgjidhja e mosmarrëveshje</w:t>
      </w:r>
      <w:r w:rsidR="00C85542">
        <w:rPr>
          <w:rFonts w:asciiTheme="minorHAnsi" w:hAnsiTheme="minorHAnsi" w:cstheme="minorBidi"/>
          <w:color w:val="auto"/>
          <w:sz w:val="22"/>
          <w:szCs w:val="22"/>
          <w:lang w:val="sq-AL"/>
        </w:rPr>
        <w:t xml:space="preserve">ve </w:t>
      </w:r>
      <w:r w:rsidRPr="00FB104E">
        <w:rPr>
          <w:rFonts w:asciiTheme="minorHAnsi" w:hAnsiTheme="minorHAnsi" w:cstheme="minorBidi"/>
          <w:color w:val="auto"/>
          <w:sz w:val="22"/>
          <w:szCs w:val="22"/>
          <w:lang w:val="sq-AL"/>
        </w:rPr>
        <w:t>investitor</w:t>
      </w:r>
      <w:r w:rsidR="00C85542">
        <w:rPr>
          <w:rFonts w:asciiTheme="minorHAnsi" w:hAnsiTheme="minorHAnsi" w:cstheme="minorBidi"/>
          <w:color w:val="auto"/>
          <w:sz w:val="22"/>
          <w:szCs w:val="22"/>
          <w:lang w:val="sq-AL"/>
        </w:rPr>
        <w:t xml:space="preserve">-shtet </w:t>
      </w:r>
      <w:r w:rsidRPr="00FB104E">
        <w:rPr>
          <w:rFonts w:asciiTheme="minorHAnsi" w:hAnsiTheme="minorHAnsi" w:cstheme="minorBidi"/>
          <w:color w:val="auto"/>
          <w:sz w:val="22"/>
          <w:szCs w:val="22"/>
          <w:lang w:val="sq-AL"/>
        </w:rPr>
        <w:t>(ISDS</w:t>
      </w:r>
      <w:r w:rsidR="00C422E9" w:rsidRPr="009A66BD">
        <w:rPr>
          <w:rFonts w:asciiTheme="minorHAnsi" w:hAnsiTheme="minorHAnsi" w:cstheme="minorBidi"/>
          <w:color w:val="auto"/>
          <w:sz w:val="22"/>
          <w:szCs w:val="22"/>
          <w:lang w:val="sq-AL"/>
        </w:rPr>
        <w:t>)</w:t>
      </w:r>
    </w:p>
    <w:p w14:paraId="730CF61E" w14:textId="18C411A5" w:rsidR="00C422E9" w:rsidRPr="009A66BD" w:rsidRDefault="00CD3819" w:rsidP="00C422E9">
      <w:pPr>
        <w:pStyle w:val="Default"/>
        <w:numPr>
          <w:ilvl w:val="0"/>
          <w:numId w:val="8"/>
        </w:numPr>
        <w:rPr>
          <w:rFonts w:asciiTheme="minorHAnsi" w:hAnsiTheme="minorHAnsi" w:cstheme="minorBidi"/>
          <w:color w:val="auto"/>
          <w:sz w:val="22"/>
          <w:szCs w:val="22"/>
          <w:lang w:val="sq-AL"/>
        </w:rPr>
      </w:pPr>
      <w:r>
        <w:rPr>
          <w:rFonts w:asciiTheme="minorHAnsi" w:hAnsiTheme="minorHAnsi" w:cstheme="minorBidi"/>
          <w:color w:val="auto"/>
          <w:sz w:val="22"/>
          <w:szCs w:val="22"/>
          <w:lang w:val="sq-AL"/>
        </w:rPr>
        <w:t>Klauzola tjera</w:t>
      </w:r>
    </w:p>
    <w:p w14:paraId="22E4482B" w14:textId="4EB82B93" w:rsidR="00CD3819" w:rsidRDefault="00CD3819" w:rsidP="00CD3819">
      <w:pPr>
        <w:pStyle w:val="Default"/>
        <w:numPr>
          <w:ilvl w:val="1"/>
          <w:numId w:val="8"/>
        </w:numPr>
        <w:rPr>
          <w:rFonts w:asciiTheme="minorHAnsi" w:hAnsiTheme="minorHAnsi" w:cstheme="minorBidi"/>
          <w:color w:val="auto"/>
          <w:sz w:val="22"/>
          <w:szCs w:val="22"/>
          <w:lang w:val="sq-AL"/>
        </w:rPr>
      </w:pPr>
      <w:r w:rsidRPr="00CD3819">
        <w:rPr>
          <w:rFonts w:asciiTheme="minorHAnsi" w:hAnsiTheme="minorHAnsi" w:cstheme="minorBidi"/>
          <w:color w:val="auto"/>
          <w:sz w:val="22"/>
          <w:szCs w:val="22"/>
          <w:lang w:val="sq-AL"/>
        </w:rPr>
        <w:t xml:space="preserve">Klauzola e </w:t>
      </w:r>
      <w:proofErr w:type="spellStart"/>
      <w:r w:rsidR="00C85542">
        <w:rPr>
          <w:rFonts w:asciiTheme="minorHAnsi" w:hAnsiTheme="minorHAnsi" w:cstheme="minorBidi"/>
          <w:color w:val="auto"/>
          <w:sz w:val="22"/>
          <w:szCs w:val="22"/>
          <w:lang w:val="sq-AL"/>
        </w:rPr>
        <w:t>subrogimit</w:t>
      </w:r>
      <w:proofErr w:type="spellEnd"/>
    </w:p>
    <w:p w14:paraId="33F2721E" w14:textId="2BCFC2A0" w:rsidR="00CD3819" w:rsidRDefault="00CD3819" w:rsidP="00CD3819">
      <w:pPr>
        <w:pStyle w:val="Default"/>
        <w:numPr>
          <w:ilvl w:val="1"/>
          <w:numId w:val="8"/>
        </w:numPr>
        <w:rPr>
          <w:rFonts w:asciiTheme="minorHAnsi" w:hAnsiTheme="minorHAnsi" w:cstheme="minorBidi"/>
          <w:color w:val="auto"/>
          <w:sz w:val="22"/>
          <w:szCs w:val="22"/>
          <w:lang w:val="sq-AL"/>
        </w:rPr>
      </w:pPr>
      <w:r w:rsidRPr="00CD3819">
        <w:rPr>
          <w:rFonts w:asciiTheme="minorHAnsi" w:hAnsiTheme="minorHAnsi" w:cstheme="minorBidi"/>
          <w:color w:val="auto"/>
          <w:sz w:val="22"/>
          <w:szCs w:val="22"/>
          <w:lang w:val="sq-AL"/>
        </w:rPr>
        <w:t xml:space="preserve">Klauzola </w:t>
      </w:r>
      <w:r w:rsidR="00C85542">
        <w:rPr>
          <w:rFonts w:asciiTheme="minorHAnsi" w:hAnsiTheme="minorHAnsi" w:cstheme="minorBidi"/>
          <w:color w:val="auto"/>
          <w:sz w:val="22"/>
          <w:szCs w:val="22"/>
          <w:lang w:val="sq-AL"/>
        </w:rPr>
        <w:t>e mos-</w:t>
      </w:r>
      <w:proofErr w:type="spellStart"/>
      <w:r w:rsidR="00C85542">
        <w:rPr>
          <w:rFonts w:asciiTheme="minorHAnsi" w:hAnsiTheme="minorHAnsi" w:cstheme="minorBidi"/>
          <w:color w:val="auto"/>
          <w:sz w:val="22"/>
          <w:szCs w:val="22"/>
          <w:lang w:val="sq-AL"/>
        </w:rPr>
        <w:t>derogimit</w:t>
      </w:r>
      <w:proofErr w:type="spellEnd"/>
    </w:p>
    <w:p w14:paraId="44197A71" w14:textId="7DC3F582" w:rsidR="00CD3819" w:rsidRPr="00CD3819" w:rsidRDefault="00CD3819" w:rsidP="00CD3819">
      <w:pPr>
        <w:pStyle w:val="ListParagraph"/>
        <w:numPr>
          <w:ilvl w:val="1"/>
          <w:numId w:val="8"/>
        </w:numPr>
        <w:spacing w:line="240" w:lineRule="auto"/>
        <w:rPr>
          <w:rFonts w:asciiTheme="minorHAnsi" w:eastAsia="SimSun" w:hAnsiTheme="minorHAnsi" w:cstheme="minorBidi"/>
          <w:sz w:val="22"/>
          <w:szCs w:val="22"/>
          <w:u w:val="single"/>
          <w:lang w:val="sq-AL" w:eastAsia="zh-CN"/>
        </w:rPr>
      </w:pPr>
      <w:r w:rsidRPr="00CD3819">
        <w:rPr>
          <w:rFonts w:asciiTheme="minorHAnsi" w:eastAsia="MS Mincho" w:hAnsiTheme="minorHAnsi" w:cstheme="minorBidi"/>
          <w:sz w:val="22"/>
          <w:szCs w:val="22"/>
          <w:lang w:val="sq-AL"/>
        </w:rPr>
        <w:t xml:space="preserve">Klauzola </w:t>
      </w:r>
      <w:r w:rsidR="00C85542">
        <w:rPr>
          <w:rFonts w:asciiTheme="minorHAnsi" w:eastAsia="MS Mincho" w:hAnsiTheme="minorHAnsi" w:cstheme="minorBidi"/>
          <w:sz w:val="22"/>
          <w:szCs w:val="22"/>
          <w:lang w:val="sq-AL"/>
        </w:rPr>
        <w:t>o</w:t>
      </w:r>
      <w:r w:rsidRPr="00CD3819">
        <w:rPr>
          <w:rFonts w:asciiTheme="minorHAnsi" w:eastAsia="MS Mincho" w:hAnsiTheme="minorHAnsi" w:cstheme="minorBidi"/>
          <w:sz w:val="22"/>
          <w:szCs w:val="22"/>
          <w:lang w:val="sq-AL"/>
        </w:rPr>
        <w:t>mbrellë</w:t>
      </w:r>
      <w:r w:rsidR="00C85542">
        <w:rPr>
          <w:rFonts w:asciiTheme="minorHAnsi" w:eastAsia="MS Mincho" w:hAnsiTheme="minorHAnsi" w:cstheme="minorBidi"/>
          <w:sz w:val="22"/>
          <w:szCs w:val="22"/>
          <w:lang w:val="sq-AL"/>
        </w:rPr>
        <w:t xml:space="preserve"> </w:t>
      </w:r>
      <w:r>
        <w:rPr>
          <w:rFonts w:asciiTheme="minorHAnsi" w:eastAsia="MS Mincho" w:hAnsiTheme="minorHAnsi" w:cstheme="minorBidi"/>
          <w:sz w:val="22"/>
          <w:szCs w:val="22"/>
          <w:lang w:val="sq-AL"/>
        </w:rPr>
        <w:t>(mbrojtëse)</w:t>
      </w:r>
    </w:p>
    <w:p w14:paraId="3A4DF42F" w14:textId="6E72E5CF" w:rsidR="00C422E9" w:rsidRPr="00CD3819" w:rsidRDefault="00CD3819" w:rsidP="00CD3819">
      <w:pPr>
        <w:pStyle w:val="ListParagraph"/>
        <w:numPr>
          <w:ilvl w:val="1"/>
          <w:numId w:val="8"/>
        </w:numPr>
        <w:spacing w:line="240" w:lineRule="auto"/>
        <w:rPr>
          <w:rFonts w:asciiTheme="minorHAnsi" w:eastAsia="MS Mincho" w:hAnsiTheme="minorHAnsi" w:cstheme="minorBidi"/>
          <w:sz w:val="22"/>
          <w:szCs w:val="22"/>
          <w:lang w:val="sq-AL"/>
        </w:rPr>
      </w:pPr>
      <w:r w:rsidRPr="00CD3819">
        <w:rPr>
          <w:rFonts w:asciiTheme="minorHAnsi" w:eastAsia="MS Mincho" w:hAnsiTheme="minorHAnsi" w:cstheme="minorBidi"/>
          <w:sz w:val="22"/>
          <w:szCs w:val="22"/>
          <w:lang w:val="sq-AL"/>
        </w:rPr>
        <w:t>Klauzola</w:t>
      </w:r>
      <w:r w:rsidR="00C85542">
        <w:rPr>
          <w:rFonts w:asciiTheme="minorHAnsi" w:eastAsia="MS Mincho" w:hAnsiTheme="minorHAnsi" w:cstheme="minorBidi"/>
          <w:sz w:val="22"/>
          <w:szCs w:val="22"/>
          <w:lang w:val="sq-AL"/>
        </w:rPr>
        <w:t xml:space="preserve"> e shfuqizimit automatik (</w:t>
      </w:r>
      <w:proofErr w:type="spellStart"/>
      <w:r w:rsidR="00C85542" w:rsidRPr="00C85542">
        <w:rPr>
          <w:rFonts w:asciiTheme="minorHAnsi" w:eastAsia="MS Mincho" w:hAnsiTheme="minorHAnsi" w:cstheme="minorBidi"/>
          <w:i/>
          <w:sz w:val="22"/>
          <w:szCs w:val="22"/>
          <w:lang w:val="sq-AL"/>
        </w:rPr>
        <w:t>sunset</w:t>
      </w:r>
      <w:proofErr w:type="spellEnd"/>
      <w:r w:rsidR="00C85542" w:rsidRPr="00C85542">
        <w:rPr>
          <w:rFonts w:asciiTheme="minorHAnsi" w:eastAsia="MS Mincho" w:hAnsiTheme="minorHAnsi" w:cstheme="minorBidi"/>
          <w:i/>
          <w:sz w:val="22"/>
          <w:szCs w:val="22"/>
          <w:lang w:val="sq-AL"/>
        </w:rPr>
        <w:t xml:space="preserve"> </w:t>
      </w:r>
      <w:proofErr w:type="spellStart"/>
      <w:r w:rsidR="00C85542" w:rsidRPr="00C85542">
        <w:rPr>
          <w:rFonts w:asciiTheme="minorHAnsi" w:eastAsia="MS Mincho" w:hAnsiTheme="minorHAnsi" w:cstheme="minorBidi"/>
          <w:i/>
          <w:sz w:val="22"/>
          <w:szCs w:val="22"/>
          <w:lang w:val="sq-AL"/>
        </w:rPr>
        <w:t>clause</w:t>
      </w:r>
      <w:proofErr w:type="spellEnd"/>
      <w:r w:rsidR="00C85542">
        <w:rPr>
          <w:rFonts w:asciiTheme="minorHAnsi" w:eastAsia="MS Mincho" w:hAnsiTheme="minorHAnsi" w:cstheme="minorBidi"/>
          <w:sz w:val="22"/>
          <w:szCs w:val="22"/>
          <w:lang w:val="sq-AL"/>
        </w:rPr>
        <w:t>)</w:t>
      </w:r>
    </w:p>
    <w:p w14:paraId="5B9D92BA" w14:textId="2BAED888" w:rsidR="00C422E9" w:rsidRPr="009A66BD" w:rsidRDefault="00C85542" w:rsidP="00C422E9">
      <w:pPr>
        <w:spacing w:after="160" w:line="259" w:lineRule="auto"/>
        <w:ind w:firstLine="0"/>
        <w:rPr>
          <w:rFonts w:ascii="Calibri" w:eastAsia="SimSun" w:hAnsi="Calibri" w:cs="Arial"/>
          <w:sz w:val="22"/>
          <w:szCs w:val="22"/>
          <w:u w:val="single"/>
          <w:lang w:val="sq-AL" w:eastAsia="zh-CN"/>
        </w:rPr>
      </w:pPr>
      <w:r>
        <w:rPr>
          <w:rFonts w:ascii="Calibri" w:eastAsia="SimSun" w:hAnsi="Calibri" w:cs="Arial"/>
          <w:sz w:val="22"/>
          <w:szCs w:val="22"/>
          <w:u w:val="single"/>
          <w:lang w:val="sq-AL" w:eastAsia="zh-CN"/>
        </w:rPr>
        <w:t>Veprimi</w:t>
      </w:r>
      <w:r w:rsidR="00E75F8D" w:rsidRPr="00E75F8D">
        <w:rPr>
          <w:rFonts w:ascii="Calibri" w:eastAsia="SimSun" w:hAnsi="Calibri" w:cs="Arial"/>
          <w:sz w:val="22"/>
          <w:szCs w:val="22"/>
          <w:u w:val="single"/>
          <w:lang w:val="sq-AL" w:eastAsia="zh-CN"/>
        </w:rPr>
        <w:t xml:space="preserve"> </w:t>
      </w:r>
      <w:r>
        <w:rPr>
          <w:rFonts w:ascii="Calibri" w:eastAsia="SimSun" w:hAnsi="Calibri" w:cs="Arial"/>
          <w:sz w:val="22"/>
          <w:szCs w:val="22"/>
          <w:u w:val="single"/>
          <w:lang w:val="sq-AL" w:eastAsia="zh-CN"/>
        </w:rPr>
        <w:t>3.2.1 i</w:t>
      </w:r>
      <w:r w:rsidR="00E75F8D" w:rsidRPr="00E75F8D">
        <w:rPr>
          <w:rFonts w:ascii="Calibri" w:eastAsia="SimSun" w:hAnsi="Calibri" w:cs="Arial"/>
          <w:sz w:val="22"/>
          <w:szCs w:val="22"/>
          <w:u w:val="single"/>
          <w:lang w:val="sq-AL" w:eastAsia="zh-CN"/>
        </w:rPr>
        <w:t xml:space="preserve"> PVRI-së</w:t>
      </w:r>
      <w:r w:rsidR="00C422E9" w:rsidRPr="009A66BD">
        <w:rPr>
          <w:rFonts w:ascii="Calibri" w:eastAsia="SimSun" w:hAnsi="Calibri" w:cs="Arial"/>
          <w:sz w:val="22"/>
          <w:szCs w:val="22"/>
          <w:u w:val="single"/>
          <w:lang w:val="sq-AL" w:eastAsia="zh-CN"/>
        </w:rPr>
        <w:t>.</w:t>
      </w:r>
    </w:p>
    <w:p w14:paraId="4712D9BD" w14:textId="09AD99E4" w:rsidR="00C422E9" w:rsidRPr="009A66BD" w:rsidRDefault="0071101E" w:rsidP="00C422E9">
      <w:pPr>
        <w:spacing w:after="160" w:line="259" w:lineRule="auto"/>
        <w:ind w:firstLine="0"/>
        <w:rPr>
          <w:rFonts w:ascii="Calibri" w:eastAsia="SimSun" w:hAnsi="Calibri" w:cs="Arial"/>
          <w:sz w:val="22"/>
          <w:szCs w:val="22"/>
          <w:lang w:val="sq-AL" w:eastAsia="zh-CN"/>
        </w:rPr>
      </w:pPr>
      <w:r w:rsidRPr="0071101E">
        <w:rPr>
          <w:rFonts w:ascii="Calibri" w:eastAsia="SimSun" w:hAnsi="Calibri" w:cs="Arial"/>
          <w:sz w:val="22"/>
          <w:szCs w:val="22"/>
          <w:lang w:val="sq-AL" w:eastAsia="zh-CN"/>
        </w:rPr>
        <w:t>Fushëveprimi i analizës përfshin</w:t>
      </w:r>
      <w:r w:rsidR="00C422E9" w:rsidRPr="009A66BD">
        <w:rPr>
          <w:rFonts w:ascii="Calibri" w:eastAsia="SimSun" w:hAnsi="Calibri" w:cs="Arial"/>
          <w:sz w:val="22"/>
          <w:szCs w:val="22"/>
          <w:lang w:val="sq-AL" w:eastAsia="zh-CN"/>
        </w:rPr>
        <w:t>:</w:t>
      </w:r>
    </w:p>
    <w:p w14:paraId="22F1E2D8" w14:textId="73E5B64B" w:rsidR="0071101E" w:rsidRDefault="0071101E" w:rsidP="0071101E">
      <w:pPr>
        <w:pStyle w:val="ListParagraph"/>
        <w:numPr>
          <w:ilvl w:val="0"/>
          <w:numId w:val="9"/>
        </w:numPr>
        <w:spacing w:after="160" w:line="259" w:lineRule="auto"/>
        <w:rPr>
          <w:rFonts w:ascii="Calibri" w:eastAsia="SimSun" w:hAnsi="Calibri" w:cs="Arial"/>
          <w:sz w:val="22"/>
          <w:szCs w:val="22"/>
          <w:lang w:val="sq-AL" w:eastAsia="zh-CN"/>
        </w:rPr>
      </w:pPr>
      <w:r w:rsidRPr="0071101E">
        <w:rPr>
          <w:rFonts w:ascii="Calibri" w:eastAsia="SimSun" w:hAnsi="Calibri" w:cs="Arial"/>
          <w:sz w:val="22"/>
          <w:szCs w:val="22"/>
          <w:lang w:val="sq-AL" w:eastAsia="zh-CN"/>
        </w:rPr>
        <w:t>Për</w:t>
      </w:r>
      <w:r w:rsidR="00C85542">
        <w:rPr>
          <w:rFonts w:ascii="Calibri" w:eastAsia="SimSun" w:hAnsi="Calibri" w:cs="Arial"/>
          <w:sz w:val="22"/>
          <w:szCs w:val="22"/>
          <w:lang w:val="sq-AL" w:eastAsia="zh-CN"/>
        </w:rPr>
        <w:t xml:space="preserve">kufizimin </w:t>
      </w:r>
      <w:r>
        <w:rPr>
          <w:rFonts w:ascii="Calibri" w:eastAsia="SimSun" w:hAnsi="Calibri" w:cs="Arial"/>
          <w:sz w:val="22"/>
          <w:szCs w:val="22"/>
          <w:lang w:val="sq-AL" w:eastAsia="zh-CN"/>
        </w:rPr>
        <w:t>e</w:t>
      </w:r>
      <w:r w:rsidRPr="0071101E">
        <w:rPr>
          <w:rFonts w:ascii="Calibri" w:eastAsia="SimSun" w:hAnsi="Calibri" w:cs="Arial"/>
          <w:sz w:val="22"/>
          <w:szCs w:val="22"/>
          <w:lang w:val="sq-AL" w:eastAsia="zh-CN"/>
        </w:rPr>
        <w:t xml:space="preserve"> investim</w:t>
      </w:r>
      <w:r w:rsidR="00C85542">
        <w:rPr>
          <w:rFonts w:ascii="Calibri" w:eastAsia="SimSun" w:hAnsi="Calibri" w:cs="Arial"/>
          <w:sz w:val="22"/>
          <w:szCs w:val="22"/>
          <w:lang w:val="sq-AL" w:eastAsia="zh-CN"/>
        </w:rPr>
        <w:t>it</w:t>
      </w:r>
      <w:r w:rsidRPr="0071101E">
        <w:rPr>
          <w:rFonts w:ascii="Calibri" w:eastAsia="SimSun" w:hAnsi="Calibri" w:cs="Arial"/>
          <w:sz w:val="22"/>
          <w:szCs w:val="22"/>
          <w:lang w:val="sq-AL" w:eastAsia="zh-CN"/>
        </w:rPr>
        <w:t xml:space="preserve"> / investitor</w:t>
      </w:r>
      <w:r w:rsidR="00C85542">
        <w:rPr>
          <w:rFonts w:ascii="Calibri" w:eastAsia="SimSun" w:hAnsi="Calibri" w:cs="Arial"/>
          <w:sz w:val="22"/>
          <w:szCs w:val="22"/>
          <w:lang w:val="sq-AL" w:eastAsia="zh-CN"/>
        </w:rPr>
        <w:t>it</w:t>
      </w:r>
    </w:p>
    <w:p w14:paraId="07FDB64B" w14:textId="77777777" w:rsidR="00AD717B" w:rsidRDefault="00AD717B" w:rsidP="00AD717B">
      <w:pPr>
        <w:pStyle w:val="ListParagraph"/>
        <w:numPr>
          <w:ilvl w:val="0"/>
          <w:numId w:val="9"/>
        </w:numPr>
        <w:spacing w:after="160" w:line="259" w:lineRule="auto"/>
        <w:rPr>
          <w:rFonts w:ascii="Calibri" w:eastAsia="SimSun" w:hAnsi="Calibri" w:cs="Arial"/>
          <w:sz w:val="22"/>
          <w:szCs w:val="22"/>
          <w:lang w:val="sq-AL" w:eastAsia="zh-CN"/>
        </w:rPr>
      </w:pPr>
      <w:r w:rsidRPr="00AD717B">
        <w:rPr>
          <w:rFonts w:ascii="Calibri" w:eastAsia="SimSun" w:hAnsi="Calibri" w:cs="Arial"/>
          <w:sz w:val="22"/>
          <w:szCs w:val="22"/>
          <w:lang w:val="sq-AL" w:eastAsia="zh-CN"/>
        </w:rPr>
        <w:t>Sigurimin e Trajtimit të Drejtë dhe të Barabartë</w:t>
      </w:r>
    </w:p>
    <w:p w14:paraId="7E3C6457" w14:textId="77777777" w:rsidR="00AD717B" w:rsidRDefault="00AD717B" w:rsidP="00AD717B">
      <w:pPr>
        <w:pStyle w:val="ListParagraph"/>
        <w:numPr>
          <w:ilvl w:val="0"/>
          <w:numId w:val="9"/>
        </w:numPr>
        <w:spacing w:after="160" w:line="259" w:lineRule="auto"/>
        <w:rPr>
          <w:rFonts w:ascii="Calibri" w:eastAsia="SimSun" w:hAnsi="Calibri" w:cs="Arial"/>
          <w:sz w:val="22"/>
          <w:szCs w:val="22"/>
          <w:lang w:val="sq-AL" w:eastAsia="zh-CN"/>
        </w:rPr>
      </w:pPr>
      <w:r w:rsidRPr="00AD717B">
        <w:rPr>
          <w:rFonts w:ascii="Calibri" w:eastAsia="SimSun" w:hAnsi="Calibri" w:cs="Arial"/>
          <w:sz w:val="22"/>
          <w:szCs w:val="22"/>
          <w:lang w:val="sq-AL" w:eastAsia="zh-CN"/>
        </w:rPr>
        <w:t>Mundësinë dhe lehtësinë e transferimit të fondeve</w:t>
      </w:r>
    </w:p>
    <w:p w14:paraId="641FCA61" w14:textId="4A643137" w:rsidR="00C422E9" w:rsidRPr="009A66BD" w:rsidRDefault="00737DB0" w:rsidP="00737DB0">
      <w:pPr>
        <w:pStyle w:val="ListParagraph"/>
        <w:numPr>
          <w:ilvl w:val="0"/>
          <w:numId w:val="9"/>
        </w:numPr>
        <w:spacing w:after="160" w:line="259" w:lineRule="auto"/>
        <w:rPr>
          <w:rFonts w:ascii="Calibri" w:eastAsia="SimSun" w:hAnsi="Calibri" w:cs="Arial"/>
          <w:sz w:val="22"/>
          <w:szCs w:val="22"/>
          <w:lang w:val="sq-AL" w:eastAsia="zh-CN"/>
        </w:rPr>
      </w:pPr>
      <w:r w:rsidRPr="00737DB0">
        <w:rPr>
          <w:rFonts w:ascii="Calibri" w:eastAsia="SimSun" w:hAnsi="Calibri" w:cs="Arial"/>
          <w:sz w:val="22"/>
          <w:szCs w:val="22"/>
          <w:lang w:val="sq-AL" w:eastAsia="zh-CN"/>
        </w:rPr>
        <w:t xml:space="preserve">Mjetet e zgjidhjes së mosmarrëveshjeve në dispozicion në Kosovë </w:t>
      </w:r>
      <w:r w:rsidR="00D11CDE" w:rsidRPr="009A66BD">
        <w:rPr>
          <w:rFonts w:ascii="Calibri" w:eastAsia="SimSun" w:hAnsi="Calibri" w:cs="Arial"/>
          <w:sz w:val="22"/>
          <w:szCs w:val="22"/>
          <w:lang w:val="sq-AL" w:eastAsia="zh-CN"/>
        </w:rPr>
        <w:t>*</w:t>
      </w:r>
    </w:p>
    <w:p w14:paraId="32A3DB55" w14:textId="77777777" w:rsidR="00C422E9" w:rsidRPr="009A66BD" w:rsidRDefault="00C422E9" w:rsidP="00C422E9">
      <w:pPr>
        <w:spacing w:after="160" w:line="259" w:lineRule="auto"/>
        <w:ind w:firstLine="0"/>
        <w:rPr>
          <w:rFonts w:ascii="Calibri" w:eastAsia="SimSun" w:hAnsi="Calibri" w:cs="Arial"/>
          <w:sz w:val="22"/>
          <w:szCs w:val="18"/>
          <w:lang w:val="sq-AL" w:eastAsia="zh-CN"/>
        </w:rPr>
      </w:pPr>
    </w:p>
    <w:p w14:paraId="53221B87" w14:textId="6E796BC1" w:rsidR="00C422E9" w:rsidRPr="009A66BD" w:rsidRDefault="00C85542" w:rsidP="00C422E9">
      <w:pPr>
        <w:spacing w:after="200" w:line="276" w:lineRule="auto"/>
        <w:ind w:firstLine="0"/>
        <w:jc w:val="left"/>
        <w:rPr>
          <w:rFonts w:asciiTheme="minorHAnsi" w:hAnsiTheme="minorHAnsi"/>
          <w:sz w:val="22"/>
          <w:szCs w:val="22"/>
          <w:u w:val="single"/>
          <w:lang w:val="sq-AL"/>
        </w:rPr>
      </w:pPr>
      <w:r>
        <w:rPr>
          <w:rFonts w:asciiTheme="minorHAnsi" w:hAnsiTheme="minorHAnsi"/>
          <w:sz w:val="22"/>
          <w:szCs w:val="22"/>
          <w:u w:val="single"/>
          <w:lang w:val="sq-AL"/>
        </w:rPr>
        <w:t xml:space="preserve">Veprimi </w:t>
      </w:r>
      <w:r w:rsidR="00E75F8D" w:rsidRPr="00E75F8D">
        <w:rPr>
          <w:rFonts w:asciiTheme="minorHAnsi" w:hAnsiTheme="minorHAnsi"/>
          <w:sz w:val="22"/>
          <w:szCs w:val="22"/>
          <w:u w:val="single"/>
          <w:lang w:val="sq-AL"/>
        </w:rPr>
        <w:t xml:space="preserve"> </w:t>
      </w:r>
      <w:r w:rsidR="00E75F8D">
        <w:rPr>
          <w:rFonts w:asciiTheme="minorHAnsi" w:hAnsiTheme="minorHAnsi"/>
          <w:sz w:val="22"/>
          <w:szCs w:val="22"/>
          <w:u w:val="single"/>
          <w:lang w:val="sq-AL"/>
        </w:rPr>
        <w:t xml:space="preserve">4.1.1 </w:t>
      </w:r>
      <w:r>
        <w:rPr>
          <w:rFonts w:asciiTheme="minorHAnsi" w:hAnsiTheme="minorHAnsi"/>
          <w:sz w:val="22"/>
          <w:szCs w:val="22"/>
          <w:u w:val="single"/>
          <w:lang w:val="sq-AL"/>
        </w:rPr>
        <w:t>i</w:t>
      </w:r>
      <w:r w:rsidR="00E75F8D" w:rsidRPr="00E75F8D">
        <w:rPr>
          <w:rFonts w:asciiTheme="minorHAnsi" w:hAnsiTheme="minorHAnsi"/>
          <w:sz w:val="22"/>
          <w:szCs w:val="22"/>
          <w:u w:val="single"/>
          <w:lang w:val="sq-AL"/>
        </w:rPr>
        <w:t xml:space="preserve"> PVRI-së</w:t>
      </w:r>
    </w:p>
    <w:p w14:paraId="5E86E71A" w14:textId="14BA464C" w:rsidR="00C422E9" w:rsidRPr="009A66BD" w:rsidRDefault="004126A7" w:rsidP="00C422E9">
      <w:pPr>
        <w:spacing w:after="160" w:line="256" w:lineRule="auto"/>
        <w:ind w:firstLine="0"/>
        <w:rPr>
          <w:rFonts w:ascii="Calibri" w:eastAsia="SimSun" w:hAnsi="Calibri" w:cs="Arial"/>
          <w:sz w:val="22"/>
          <w:szCs w:val="22"/>
          <w:lang w:val="sq-AL" w:eastAsia="zh-CN"/>
        </w:rPr>
      </w:pPr>
      <w:r w:rsidRPr="004126A7">
        <w:rPr>
          <w:rFonts w:ascii="Calibri" w:eastAsia="SimSun" w:hAnsi="Calibri" w:cs="Arial"/>
          <w:sz w:val="22"/>
          <w:szCs w:val="22"/>
          <w:lang w:val="sq-AL" w:eastAsia="zh-CN"/>
        </w:rPr>
        <w:t xml:space="preserve">Diagnostikimi përfshin </w:t>
      </w:r>
      <w:r w:rsidR="00C85542">
        <w:rPr>
          <w:rFonts w:ascii="Calibri" w:eastAsia="SimSun" w:hAnsi="Calibri" w:cs="Arial"/>
          <w:sz w:val="22"/>
          <w:szCs w:val="22"/>
          <w:lang w:val="sq-AL" w:eastAsia="zh-CN"/>
        </w:rPr>
        <w:t>sa</w:t>
      </w:r>
      <w:r w:rsidRPr="004126A7">
        <w:rPr>
          <w:rFonts w:ascii="Calibri" w:eastAsia="SimSun" w:hAnsi="Calibri" w:cs="Arial"/>
          <w:sz w:val="22"/>
          <w:szCs w:val="22"/>
          <w:lang w:val="sq-AL" w:eastAsia="zh-CN"/>
        </w:rPr>
        <w:t xml:space="preserve"> vijon</w:t>
      </w:r>
      <w:r w:rsidR="00C422E9" w:rsidRPr="009A66BD">
        <w:rPr>
          <w:rFonts w:ascii="Calibri" w:eastAsia="SimSun" w:hAnsi="Calibri" w:cs="Arial"/>
          <w:sz w:val="22"/>
          <w:szCs w:val="22"/>
          <w:lang w:val="sq-AL" w:eastAsia="zh-CN"/>
        </w:rPr>
        <w:t>:</w:t>
      </w:r>
    </w:p>
    <w:p w14:paraId="785CC136" w14:textId="3C12E301" w:rsidR="00C422E9" w:rsidRPr="009A66BD" w:rsidRDefault="0055315B" w:rsidP="0055315B">
      <w:pPr>
        <w:pStyle w:val="ListParagraph"/>
        <w:numPr>
          <w:ilvl w:val="0"/>
          <w:numId w:val="9"/>
        </w:numPr>
        <w:spacing w:after="160" w:line="256" w:lineRule="auto"/>
        <w:rPr>
          <w:rFonts w:ascii="Calibri" w:eastAsia="SimSun" w:hAnsi="Calibri" w:cs="Arial"/>
          <w:sz w:val="22"/>
          <w:szCs w:val="22"/>
          <w:lang w:val="sq-AL" w:eastAsia="zh-CN"/>
        </w:rPr>
      </w:pPr>
      <w:r w:rsidRPr="0055315B">
        <w:rPr>
          <w:rFonts w:ascii="Calibri" w:eastAsia="SimSun" w:hAnsi="Calibri" w:cs="Arial"/>
          <w:sz w:val="22"/>
          <w:szCs w:val="22"/>
          <w:lang w:val="sq-AL" w:eastAsia="zh-CN"/>
        </w:rPr>
        <w:t>Identifikimi i profilit të ankesave të investitorëve (lloji i masave, profili i investitor</w:t>
      </w:r>
      <w:r w:rsidR="00C85542">
        <w:rPr>
          <w:rFonts w:ascii="Calibri" w:eastAsia="SimSun" w:hAnsi="Calibri" w:cs="Arial"/>
          <w:sz w:val="22"/>
          <w:szCs w:val="22"/>
          <w:lang w:val="sq-AL" w:eastAsia="zh-CN"/>
        </w:rPr>
        <w:t>it</w:t>
      </w:r>
      <w:r w:rsidRPr="0055315B">
        <w:rPr>
          <w:rFonts w:ascii="Calibri" w:eastAsia="SimSun" w:hAnsi="Calibri" w:cs="Arial"/>
          <w:sz w:val="22"/>
          <w:szCs w:val="22"/>
          <w:lang w:val="sq-AL" w:eastAsia="zh-CN"/>
        </w:rPr>
        <w:t>, agjencia e përfshirë</w:t>
      </w:r>
      <w:r w:rsidR="00C422E9" w:rsidRPr="009A66BD">
        <w:rPr>
          <w:rFonts w:ascii="Calibri" w:eastAsia="SimSun" w:hAnsi="Calibri" w:cs="Arial"/>
          <w:sz w:val="22"/>
          <w:szCs w:val="22"/>
          <w:lang w:val="sq-AL" w:eastAsia="zh-CN"/>
        </w:rPr>
        <w:t>)</w:t>
      </w:r>
    </w:p>
    <w:p w14:paraId="0C0821E3" w14:textId="77777777" w:rsidR="0055315B" w:rsidRDefault="0055315B" w:rsidP="0055315B">
      <w:pPr>
        <w:pStyle w:val="ListParagraph"/>
        <w:numPr>
          <w:ilvl w:val="0"/>
          <w:numId w:val="9"/>
        </w:numPr>
        <w:spacing w:after="160" w:line="256" w:lineRule="auto"/>
        <w:rPr>
          <w:rFonts w:ascii="Calibri" w:eastAsia="SimSun" w:hAnsi="Calibri" w:cs="Arial"/>
          <w:sz w:val="22"/>
          <w:szCs w:val="22"/>
          <w:lang w:val="sq-AL" w:eastAsia="zh-CN"/>
        </w:rPr>
      </w:pPr>
      <w:r w:rsidRPr="0055315B">
        <w:rPr>
          <w:rFonts w:ascii="Calibri" w:eastAsia="SimSun" w:hAnsi="Calibri" w:cs="Arial"/>
          <w:sz w:val="22"/>
          <w:szCs w:val="22"/>
          <w:lang w:val="sq-AL" w:eastAsia="zh-CN"/>
        </w:rPr>
        <w:t>Ndikimi i ankesave tek investitorët</w:t>
      </w:r>
    </w:p>
    <w:p w14:paraId="659187D2" w14:textId="77777777" w:rsidR="0055315B" w:rsidRDefault="0055315B" w:rsidP="0055315B">
      <w:pPr>
        <w:pStyle w:val="ListParagraph"/>
        <w:numPr>
          <w:ilvl w:val="0"/>
          <w:numId w:val="9"/>
        </w:numPr>
        <w:spacing w:after="160" w:line="256" w:lineRule="auto"/>
        <w:rPr>
          <w:rFonts w:ascii="Calibri" w:eastAsia="SimSun" w:hAnsi="Calibri" w:cs="Arial"/>
          <w:sz w:val="22"/>
          <w:szCs w:val="22"/>
          <w:lang w:val="sq-AL" w:eastAsia="zh-CN"/>
        </w:rPr>
      </w:pPr>
      <w:r w:rsidRPr="0055315B">
        <w:rPr>
          <w:rFonts w:ascii="Calibri" w:eastAsia="SimSun" w:hAnsi="Calibri" w:cs="Arial"/>
          <w:sz w:val="22"/>
          <w:szCs w:val="22"/>
          <w:lang w:val="sq-AL" w:eastAsia="zh-CN"/>
        </w:rPr>
        <w:t>Mekanizmat ekzistues të zgjidhjes së ankesave</w:t>
      </w:r>
    </w:p>
    <w:p w14:paraId="0EF02530" w14:textId="77777777" w:rsidR="0055315B" w:rsidRDefault="0055315B" w:rsidP="0055315B">
      <w:pPr>
        <w:pStyle w:val="ListParagraph"/>
        <w:numPr>
          <w:ilvl w:val="0"/>
          <w:numId w:val="9"/>
        </w:numPr>
        <w:spacing w:after="160" w:line="256" w:lineRule="auto"/>
        <w:rPr>
          <w:rFonts w:ascii="Calibri" w:eastAsia="SimSun" w:hAnsi="Calibri" w:cs="Arial"/>
          <w:sz w:val="22"/>
          <w:szCs w:val="22"/>
          <w:lang w:val="sq-AL" w:eastAsia="zh-CN"/>
        </w:rPr>
      </w:pPr>
      <w:r w:rsidRPr="0055315B">
        <w:rPr>
          <w:rFonts w:ascii="Calibri" w:eastAsia="SimSun" w:hAnsi="Calibri" w:cs="Arial"/>
          <w:sz w:val="22"/>
          <w:szCs w:val="22"/>
          <w:lang w:val="sq-AL" w:eastAsia="zh-CN"/>
        </w:rPr>
        <w:t>Diagnostikimi institucional dhe ligjor që mbulon kompetencat e agjencive përkatëse, korniza e investimeve dhe mosmarrëveshjeve, si dhe ekonomia politike e ankesave</w:t>
      </w:r>
    </w:p>
    <w:p w14:paraId="3D0709E7" w14:textId="77777777" w:rsidR="00EA26CA" w:rsidRDefault="00EA26CA" w:rsidP="00EA26CA">
      <w:pPr>
        <w:pStyle w:val="ListParagraph"/>
        <w:numPr>
          <w:ilvl w:val="0"/>
          <w:numId w:val="9"/>
        </w:numPr>
        <w:spacing w:after="160" w:line="256" w:lineRule="auto"/>
        <w:rPr>
          <w:rFonts w:ascii="Calibri" w:eastAsia="SimSun" w:hAnsi="Calibri" w:cs="Arial"/>
          <w:sz w:val="22"/>
          <w:szCs w:val="22"/>
          <w:lang w:val="sq-AL" w:eastAsia="zh-CN"/>
        </w:rPr>
      </w:pPr>
      <w:r w:rsidRPr="00EA26CA">
        <w:rPr>
          <w:rFonts w:ascii="Calibri" w:eastAsia="SimSun" w:hAnsi="Calibri" w:cs="Arial"/>
          <w:sz w:val="22"/>
          <w:szCs w:val="22"/>
          <w:lang w:val="sq-AL" w:eastAsia="zh-CN"/>
        </w:rPr>
        <w:t>Identifikimi i ndryshimeve ligjore që mund të jenë të nevojshme për ngritjen dhe funksionalizimin e një mekanizmi të menaxhimit të ankesave</w:t>
      </w:r>
    </w:p>
    <w:p w14:paraId="290D2FF6" w14:textId="1DAA75E5" w:rsidR="00C422E9" w:rsidRPr="009A66BD" w:rsidRDefault="000004EB" w:rsidP="00C422E9">
      <w:pPr>
        <w:spacing w:after="160" w:line="256" w:lineRule="auto"/>
        <w:ind w:firstLine="0"/>
        <w:rPr>
          <w:rFonts w:ascii="Calibri" w:eastAsia="SimSun" w:hAnsi="Calibri" w:cs="Arial"/>
          <w:sz w:val="22"/>
          <w:szCs w:val="22"/>
          <w:lang w:val="sq-AL" w:eastAsia="zh-CN"/>
        </w:rPr>
      </w:pPr>
      <w:r w:rsidRPr="000004EB">
        <w:rPr>
          <w:rFonts w:ascii="Calibri" w:eastAsia="SimSun" w:hAnsi="Calibri" w:cs="Arial"/>
          <w:sz w:val="22"/>
          <w:szCs w:val="22"/>
          <w:lang w:val="sq-AL" w:eastAsia="zh-CN"/>
        </w:rPr>
        <w:t xml:space="preserve">Diagnostikimi shërben si bazë për të zhvilluar rekomandimet për një mekanizëm të përshtatshëm të ankesave të </w:t>
      </w:r>
      <w:r w:rsidR="009A53A3">
        <w:rPr>
          <w:rFonts w:ascii="Calibri" w:eastAsia="SimSun" w:hAnsi="Calibri" w:cs="Arial"/>
          <w:sz w:val="22"/>
          <w:szCs w:val="22"/>
          <w:lang w:val="sq-AL" w:eastAsia="zh-CN"/>
        </w:rPr>
        <w:t>integruar</w:t>
      </w:r>
      <w:r w:rsidRPr="000004EB">
        <w:rPr>
          <w:rFonts w:ascii="Calibri" w:eastAsia="SimSun" w:hAnsi="Calibri" w:cs="Arial"/>
          <w:sz w:val="22"/>
          <w:szCs w:val="22"/>
          <w:lang w:val="sq-AL" w:eastAsia="zh-CN"/>
        </w:rPr>
        <w:t xml:space="preserve"> në strukturën institucionale të Kosovës *. Këto rekomandime duhet të </w:t>
      </w:r>
      <w:proofErr w:type="spellStart"/>
      <w:r w:rsidRPr="000004EB">
        <w:rPr>
          <w:rFonts w:ascii="Calibri" w:eastAsia="SimSun" w:hAnsi="Calibri" w:cs="Arial"/>
          <w:sz w:val="22"/>
          <w:szCs w:val="22"/>
          <w:lang w:val="sq-AL" w:eastAsia="zh-CN"/>
        </w:rPr>
        <w:t>v</w:t>
      </w:r>
      <w:r w:rsidR="009A53A3">
        <w:rPr>
          <w:rFonts w:ascii="Calibri" w:eastAsia="SimSun" w:hAnsi="Calibri" w:cs="Arial"/>
          <w:sz w:val="22"/>
          <w:szCs w:val="22"/>
          <w:lang w:val="sq-AL" w:eastAsia="zh-CN"/>
        </w:rPr>
        <w:t>alidohen</w:t>
      </w:r>
      <w:proofErr w:type="spellEnd"/>
      <w:r w:rsidR="009A53A3">
        <w:rPr>
          <w:rFonts w:ascii="Calibri" w:eastAsia="SimSun" w:hAnsi="Calibri" w:cs="Arial"/>
          <w:sz w:val="22"/>
          <w:szCs w:val="22"/>
          <w:lang w:val="sq-AL" w:eastAsia="zh-CN"/>
        </w:rPr>
        <w:t xml:space="preserve"> </w:t>
      </w:r>
      <w:r w:rsidRPr="000004EB">
        <w:rPr>
          <w:rFonts w:ascii="Calibri" w:eastAsia="SimSun" w:hAnsi="Calibri" w:cs="Arial"/>
          <w:sz w:val="22"/>
          <w:szCs w:val="22"/>
          <w:lang w:val="sq-AL" w:eastAsia="zh-CN"/>
        </w:rPr>
        <w:t xml:space="preserve">më tej në një proces konsultimi me palët e interesit </w:t>
      </w:r>
      <w:r w:rsidR="009A53A3">
        <w:rPr>
          <w:rFonts w:ascii="Calibri" w:eastAsia="SimSun" w:hAnsi="Calibri" w:cs="Arial"/>
          <w:sz w:val="22"/>
          <w:szCs w:val="22"/>
          <w:lang w:val="sq-AL" w:eastAsia="zh-CN"/>
        </w:rPr>
        <w:t>t</w:t>
      </w:r>
      <w:r w:rsidR="006822F7">
        <w:rPr>
          <w:rFonts w:ascii="Calibri" w:eastAsia="SimSun" w:hAnsi="Calibri" w:cs="Arial"/>
          <w:sz w:val="22"/>
          <w:szCs w:val="22"/>
          <w:lang w:val="sq-AL" w:eastAsia="zh-CN"/>
        </w:rPr>
        <w:t>ë</w:t>
      </w:r>
      <w:r w:rsidR="009A53A3">
        <w:rPr>
          <w:rFonts w:ascii="Calibri" w:eastAsia="SimSun" w:hAnsi="Calibri" w:cs="Arial"/>
          <w:sz w:val="22"/>
          <w:szCs w:val="22"/>
          <w:lang w:val="sq-AL" w:eastAsia="zh-CN"/>
        </w:rPr>
        <w:t xml:space="preserve"> sektorit </w:t>
      </w:r>
      <w:r w:rsidRPr="000004EB">
        <w:rPr>
          <w:rFonts w:ascii="Calibri" w:eastAsia="SimSun" w:hAnsi="Calibri" w:cs="Arial"/>
          <w:sz w:val="22"/>
          <w:szCs w:val="22"/>
          <w:lang w:val="sq-AL" w:eastAsia="zh-CN"/>
        </w:rPr>
        <w:t>publik dhe privat</w:t>
      </w:r>
      <w:r w:rsidR="00C422E9" w:rsidRPr="009A66BD">
        <w:rPr>
          <w:rFonts w:ascii="Calibri" w:eastAsia="SimSun" w:hAnsi="Calibri" w:cs="Arial"/>
          <w:sz w:val="22"/>
          <w:szCs w:val="22"/>
          <w:lang w:val="sq-AL" w:eastAsia="zh-CN"/>
        </w:rPr>
        <w:t>.</w:t>
      </w:r>
    </w:p>
    <w:p w14:paraId="2FD0F332" w14:textId="1D37DDA3" w:rsidR="00AC1F1A" w:rsidRPr="009A66BD" w:rsidRDefault="00AC1F1A" w:rsidP="00C422E9">
      <w:pPr>
        <w:spacing w:after="160" w:line="259" w:lineRule="auto"/>
        <w:ind w:firstLine="0"/>
        <w:jc w:val="left"/>
        <w:rPr>
          <w:rFonts w:asciiTheme="minorHAnsi" w:eastAsia="SimSun" w:hAnsiTheme="minorHAnsi" w:cstheme="minorHAnsi"/>
          <w:sz w:val="22"/>
          <w:szCs w:val="22"/>
          <w:lang w:val="sq-AL" w:eastAsia="zh-CN"/>
        </w:rPr>
      </w:pPr>
    </w:p>
    <w:sectPr w:rsidR="00AC1F1A" w:rsidRPr="009A66BD" w:rsidSect="0020008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23CE" w14:textId="77777777" w:rsidR="00867998" w:rsidRDefault="00867998" w:rsidP="006A028A">
      <w:pPr>
        <w:spacing w:line="240" w:lineRule="auto"/>
      </w:pPr>
      <w:r>
        <w:separator/>
      </w:r>
    </w:p>
  </w:endnote>
  <w:endnote w:type="continuationSeparator" w:id="0">
    <w:p w14:paraId="5AE2E5F4" w14:textId="77777777" w:rsidR="00867998" w:rsidRDefault="00867998" w:rsidP="006A028A">
      <w:pPr>
        <w:spacing w:line="240" w:lineRule="auto"/>
      </w:pPr>
      <w:r>
        <w:continuationSeparator/>
      </w:r>
    </w:p>
  </w:endnote>
  <w:endnote w:type="continuationNotice" w:id="1">
    <w:p w14:paraId="0BCC11F2" w14:textId="77777777" w:rsidR="00867998" w:rsidRDefault="00867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font>
  <w:font w:name="Sabon-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87297"/>
      <w:docPartObj>
        <w:docPartGallery w:val="Page Numbers (Bottom of Page)"/>
        <w:docPartUnique/>
      </w:docPartObj>
    </w:sdtPr>
    <w:sdtEndPr>
      <w:rPr>
        <w:color w:val="7F7F7F" w:themeColor="background1" w:themeShade="7F"/>
        <w:spacing w:val="60"/>
      </w:rPr>
    </w:sdtEndPr>
    <w:sdtContent>
      <w:p w14:paraId="281F8067" w14:textId="77777777" w:rsidR="00867998" w:rsidRPr="008A6AA3" w:rsidRDefault="00867998" w:rsidP="007D3131">
        <w:pPr>
          <w:pStyle w:val="Footer"/>
          <w:pBdr>
            <w:top w:val="single" w:sz="4" w:space="1" w:color="D9D9D9" w:themeColor="background1" w:themeShade="D9"/>
          </w:pBdr>
          <w:tabs>
            <w:tab w:val="clear" w:pos="9360"/>
            <w:tab w:val="right" w:pos="10620"/>
          </w:tabs>
        </w:pPr>
        <w:r w:rsidRPr="00AE77E9">
          <w:rPr>
            <w:noProof/>
            <w:lang w:val="en-US"/>
          </w:rPr>
          <w:drawing>
            <wp:inline distT="0" distB="0" distL="0" distR="0" wp14:anchorId="20E06F46" wp14:editId="5D1993CA">
              <wp:extent cx="1484880" cy="30932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77" cy="342097"/>
                      </a:xfrm>
                      <a:prstGeom prst="rect">
                        <a:avLst/>
                      </a:prstGeom>
                      <a:noFill/>
                    </pic:spPr>
                  </pic:pic>
                </a:graphicData>
              </a:graphic>
            </wp:inline>
          </w:drawing>
        </w:r>
        <w:r>
          <w:tab/>
        </w:r>
        <w:r w:rsidRPr="13A9C389">
          <w:t xml:space="preserve">                                                                            </w:t>
        </w:r>
        <w:r w:rsidRPr="00AE77E9">
          <w:rPr>
            <w:noProof/>
            <w:sz w:val="16"/>
            <w:lang w:val="en-US"/>
          </w:rPr>
          <w:drawing>
            <wp:inline distT="0" distB="0" distL="0" distR="0" wp14:anchorId="39479189" wp14:editId="09A716DB">
              <wp:extent cx="552450" cy="36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5px-Flag_of_Europe.svg.png"/>
                      <pic:cNvPicPr/>
                    </pic:nvPicPr>
                    <pic:blipFill>
                      <a:blip r:embed="rId2"/>
                      <a:stretch>
                        <a:fillRect/>
                      </a:stretch>
                    </pic:blipFill>
                    <pic:spPr>
                      <a:xfrm flipH="1">
                        <a:off x="0" y="0"/>
                        <a:ext cx="563579" cy="375719"/>
                      </a:xfrm>
                      <a:prstGeom prst="rect">
                        <a:avLst/>
                      </a:prstGeom>
                    </pic:spPr>
                  </pic:pic>
                </a:graphicData>
              </a:graphic>
            </wp:inline>
          </w:drawing>
        </w:r>
        <w:r w:rsidRPr="00EC494C">
          <w:rPr>
            <w:rFonts w:cs="Arial"/>
            <w:sz w:val="16"/>
            <w:szCs w:val="16"/>
          </w:rPr>
          <w:t xml:space="preserve"> </w:t>
        </w:r>
        <w:r w:rsidRPr="72A5C518">
          <w:rPr>
            <w:rFonts w:cstheme="minorBidi"/>
            <w:sz w:val="18"/>
            <w:szCs w:val="18"/>
          </w:rPr>
          <w:t>Funded by the European Union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9414"/>
      <w:docPartObj>
        <w:docPartGallery w:val="Page Numbers (Bottom of Page)"/>
        <w:docPartUnique/>
      </w:docPartObj>
    </w:sdtPr>
    <w:sdtEndPr>
      <w:rPr>
        <w:color w:val="7F7F7F" w:themeColor="background1" w:themeShade="7F"/>
        <w:spacing w:val="60"/>
      </w:rPr>
    </w:sdtEndPr>
    <w:sdtContent>
      <w:p w14:paraId="654CEA3D" w14:textId="137F5788" w:rsidR="00867998" w:rsidRPr="002E7445" w:rsidRDefault="00867998" w:rsidP="00DA6AFA">
        <w:pPr>
          <w:pStyle w:val="Footer"/>
          <w:pBdr>
            <w:top w:val="single" w:sz="4" w:space="1" w:color="D9D9D9" w:themeColor="background1" w:themeShade="D9"/>
          </w:pBdr>
          <w:tabs>
            <w:tab w:val="clear" w:pos="9360"/>
            <w:tab w:val="right" w:pos="10620"/>
          </w:tabs>
          <w:ind w:firstLine="0"/>
        </w:pPr>
        <w:r w:rsidRPr="00AE77E9">
          <w:rPr>
            <w:noProof/>
            <w:lang w:val="en-US"/>
          </w:rPr>
          <w:drawing>
            <wp:inline distT="0" distB="0" distL="0" distR="0" wp14:anchorId="135E250E" wp14:editId="1DC03CE4">
              <wp:extent cx="1440180" cy="400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80" cy="405633"/>
                      </a:xfrm>
                      <a:prstGeom prst="rect">
                        <a:avLst/>
                      </a:prstGeom>
                      <a:noFill/>
                      <a:ln>
                        <a:noFill/>
                      </a:ln>
                    </pic:spPr>
                  </pic:pic>
                </a:graphicData>
              </a:graphic>
            </wp:inline>
          </w:drawing>
        </w:r>
        <w:r>
          <w:tab/>
        </w:r>
        <w:r w:rsidRPr="13A9C389">
          <w:t xml:space="preserve">   </w:t>
        </w:r>
        <w:r>
          <w:rPr>
            <w:noProof/>
            <w:lang w:val="en-US"/>
          </w:rPr>
          <w:drawing>
            <wp:inline distT="0" distB="0" distL="0" distR="0" wp14:anchorId="2A3EA9F4" wp14:editId="410AB960">
              <wp:extent cx="1663700" cy="406400"/>
              <wp:effectExtent l="0" t="0" r="0" b="0"/>
              <wp:docPr id="6" name="Picture 6" descr="Logotip u boji (verzija 2)"/>
              <wp:cNvGraphicFramePr/>
              <a:graphic xmlns:a="http://schemas.openxmlformats.org/drawingml/2006/main">
                <a:graphicData uri="http://schemas.openxmlformats.org/drawingml/2006/picture">
                  <pic:pic xmlns:pic="http://schemas.openxmlformats.org/drawingml/2006/picture">
                    <pic:nvPicPr>
                      <pic:cNvPr id="6" name="Picture 6" descr="Logotip u boji (verzija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700" cy="406400"/>
                      </a:xfrm>
                      <a:prstGeom prst="rect">
                        <a:avLst/>
                      </a:prstGeom>
                      <a:noFill/>
                      <a:ln>
                        <a:noFill/>
                      </a:ln>
                    </pic:spPr>
                  </pic:pic>
                </a:graphicData>
              </a:graphic>
            </wp:inline>
          </w:drawing>
        </w:r>
        <w:r>
          <w:t xml:space="preserve">   </w:t>
        </w:r>
        <w:r w:rsidRPr="13A9C389">
          <w:t xml:space="preserve">   </w:t>
        </w:r>
        <w:r w:rsidRPr="0073434C">
          <w:rPr>
            <w:rFonts w:cstheme="minorBidi"/>
            <w:sz w:val="18"/>
            <w:szCs w:val="18"/>
            <w:lang w:val="sq-AL"/>
          </w:rPr>
          <w:t>Financuar nga Bashkimi Evropian</w:t>
        </w:r>
        <w:r w:rsidRPr="13A9C389">
          <w:t xml:space="preserve"> </w:t>
        </w:r>
        <w:r w:rsidRPr="00AE77E9">
          <w:rPr>
            <w:noProof/>
            <w:sz w:val="16"/>
            <w:lang w:val="en-US"/>
          </w:rPr>
          <w:drawing>
            <wp:inline distT="0" distB="0" distL="0" distR="0" wp14:anchorId="4F38DAF3" wp14:editId="53348AA5">
              <wp:extent cx="552450" cy="36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5px-Flag_of_Europe.svg.png"/>
                      <pic:cNvPicPr/>
                    </pic:nvPicPr>
                    <pic:blipFill>
                      <a:blip r:embed="rId3"/>
                      <a:stretch>
                        <a:fillRect/>
                      </a:stretch>
                    </pic:blipFill>
                    <pic:spPr>
                      <a:xfrm flipH="1">
                        <a:off x="0" y="0"/>
                        <a:ext cx="563579" cy="375719"/>
                      </a:xfrm>
                      <a:prstGeom prst="rect">
                        <a:avLst/>
                      </a:prstGeom>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5482"/>
      <w:docPartObj>
        <w:docPartGallery w:val="Page Numbers (Bottom of Page)"/>
        <w:docPartUnique/>
      </w:docPartObj>
    </w:sdtPr>
    <w:sdtEndPr>
      <w:rPr>
        <w:color w:val="7F7F7F" w:themeColor="background1" w:themeShade="7F"/>
        <w:spacing w:val="60"/>
      </w:rPr>
    </w:sdtEndPr>
    <w:sdtContent>
      <w:p w14:paraId="64111FA1" w14:textId="526BCEE5" w:rsidR="00867998" w:rsidRPr="003F4124" w:rsidRDefault="00867998" w:rsidP="72A5C518">
        <w:pPr>
          <w:pStyle w:val="Footer"/>
          <w:pBdr>
            <w:top w:val="single" w:sz="4" w:space="1" w:color="D9D9D9" w:themeColor="background1" w:themeShade="D9"/>
          </w:pBdr>
          <w:tabs>
            <w:tab w:val="clear" w:pos="9360"/>
            <w:tab w:val="right" w:pos="14670"/>
          </w:tabs>
          <w:ind w:firstLine="0"/>
          <w:rPr>
            <w:color w:val="7F7F7F" w:themeColor="background1" w:themeShade="7F"/>
          </w:rPr>
        </w:pPr>
        <w:r w:rsidRPr="00AE77E9">
          <w:rPr>
            <w:noProof/>
            <w:lang w:val="en-US"/>
          </w:rPr>
          <w:drawing>
            <wp:inline distT="0" distB="0" distL="0" distR="0" wp14:anchorId="0FA58B26" wp14:editId="5CD7F477">
              <wp:extent cx="1440180" cy="400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80" cy="405633"/>
                      </a:xfrm>
                      <a:prstGeom prst="rect">
                        <a:avLst/>
                      </a:prstGeom>
                      <a:noFill/>
                      <a:ln>
                        <a:noFill/>
                      </a:ln>
                    </pic:spPr>
                  </pic:pic>
                </a:graphicData>
              </a:graphic>
            </wp:inline>
          </w:drawing>
        </w:r>
        <w:r>
          <w:rPr>
            <w:noProof/>
            <w:lang w:val="en-US"/>
          </w:rPr>
          <w:drawing>
            <wp:inline distT="0" distB="0" distL="0" distR="0" wp14:anchorId="0CECFAF7" wp14:editId="7A648C0D">
              <wp:extent cx="1663700" cy="406400"/>
              <wp:effectExtent l="0" t="0" r="0" b="0"/>
              <wp:docPr id="9" name="Picture 9" descr="Logotip u boji (verzija 2)"/>
              <wp:cNvGraphicFramePr/>
              <a:graphic xmlns:a="http://schemas.openxmlformats.org/drawingml/2006/main">
                <a:graphicData uri="http://schemas.openxmlformats.org/drawingml/2006/picture">
                  <pic:pic xmlns:pic="http://schemas.openxmlformats.org/drawingml/2006/picture">
                    <pic:nvPicPr>
                      <pic:cNvPr id="6" name="Picture 6" descr="Logotip u boji (verzija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700" cy="406400"/>
                      </a:xfrm>
                      <a:prstGeom prst="rect">
                        <a:avLst/>
                      </a:prstGeom>
                      <a:noFill/>
                      <a:ln>
                        <a:noFill/>
                      </a:ln>
                    </pic:spPr>
                  </pic:pic>
                </a:graphicData>
              </a:graphic>
            </wp:inline>
          </w:drawing>
        </w:r>
        <w:r>
          <w:tab/>
        </w:r>
        <w:sdt>
          <w:sdtPr>
            <w:id w:val="-435056784"/>
            <w:docPartObj>
              <w:docPartGallery w:val="Page Numbers (Bottom of Page)"/>
              <w:docPartUnique/>
            </w:docPartObj>
          </w:sdtPr>
          <w:sdtEndPr>
            <w:rPr>
              <w:color w:val="7F7F7F" w:themeColor="background1" w:themeShade="7F"/>
              <w:spacing w:val="60"/>
            </w:rPr>
          </w:sdtEndPr>
          <w:sdtContent>
            <w:r>
              <w:tab/>
              <w:t xml:space="preserve">                </w:t>
            </w:r>
            <w:r w:rsidRPr="00430D10">
              <w:rPr>
                <w:rFonts w:cstheme="minorHAnsi"/>
                <w:sz w:val="18"/>
                <w:szCs w:val="16"/>
              </w:rPr>
              <w:t>Funded by the European Union</w:t>
            </w:r>
            <w:r>
              <w:t xml:space="preserve"> </w:t>
            </w:r>
            <w:r w:rsidRPr="00AE77E9">
              <w:rPr>
                <w:noProof/>
                <w:sz w:val="16"/>
                <w:lang w:val="en-US"/>
              </w:rPr>
              <w:drawing>
                <wp:inline distT="0" distB="0" distL="0" distR="0" wp14:anchorId="7A1155A8" wp14:editId="060FFEA7">
                  <wp:extent cx="55245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5px-Flag_of_Europe.svg.png"/>
                          <pic:cNvPicPr/>
                        </pic:nvPicPr>
                        <pic:blipFill>
                          <a:blip r:embed="rId3"/>
                          <a:stretch>
                            <a:fillRect/>
                          </a:stretch>
                        </pic:blipFill>
                        <pic:spPr>
                          <a:xfrm flipH="1">
                            <a:off x="0" y="0"/>
                            <a:ext cx="563579" cy="375719"/>
                          </a:xfrm>
                          <a:prstGeom prst="rect">
                            <a:avLst/>
                          </a:prstGeom>
                        </pic:spPr>
                      </pic:pic>
                    </a:graphicData>
                  </a:graphic>
                </wp:inline>
              </w:drawing>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29323"/>
      <w:docPartObj>
        <w:docPartGallery w:val="Page Numbers (Bottom of Page)"/>
        <w:docPartUnique/>
      </w:docPartObj>
    </w:sdtPr>
    <w:sdtEndPr>
      <w:rPr>
        <w:color w:val="7F7F7F" w:themeColor="background1" w:themeShade="7F"/>
        <w:spacing w:val="60"/>
      </w:rPr>
    </w:sdtEndPr>
    <w:sdtContent>
      <w:p w14:paraId="68916C9C" w14:textId="4F2C2D2C" w:rsidR="00867998" w:rsidRPr="003F4124" w:rsidRDefault="00867998" w:rsidP="72A5C518">
        <w:pPr>
          <w:pStyle w:val="Footer"/>
          <w:pBdr>
            <w:top w:val="single" w:sz="4" w:space="1" w:color="D9D9D9" w:themeColor="background1" w:themeShade="D9"/>
          </w:pBdr>
          <w:tabs>
            <w:tab w:val="clear" w:pos="9360"/>
            <w:tab w:val="right" w:pos="14670"/>
          </w:tabs>
          <w:ind w:firstLine="0"/>
          <w:rPr>
            <w:color w:val="7F7F7F" w:themeColor="background1" w:themeShade="7F"/>
          </w:rPr>
        </w:pPr>
        <w:r w:rsidRPr="00AE77E9">
          <w:rPr>
            <w:noProof/>
            <w:lang w:val="en-US"/>
          </w:rPr>
          <w:drawing>
            <wp:inline distT="0" distB="0" distL="0" distR="0" wp14:anchorId="2E007E14" wp14:editId="63F1A433">
              <wp:extent cx="1440180" cy="400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80" cy="405633"/>
                      </a:xfrm>
                      <a:prstGeom prst="rect">
                        <a:avLst/>
                      </a:prstGeom>
                      <a:noFill/>
                      <a:ln>
                        <a:noFill/>
                      </a:ln>
                    </pic:spPr>
                  </pic:pic>
                </a:graphicData>
              </a:graphic>
            </wp:inline>
          </w:drawing>
        </w:r>
        <w:r>
          <w:rPr>
            <w:noProof/>
            <w:lang w:val="en-US"/>
          </w:rPr>
          <w:drawing>
            <wp:inline distT="0" distB="0" distL="0" distR="0" wp14:anchorId="705883E2" wp14:editId="0EC86BCB">
              <wp:extent cx="1663700" cy="406400"/>
              <wp:effectExtent l="0" t="0" r="0" b="0"/>
              <wp:docPr id="11" name="Picture 11" descr="Logotip u boji (verzija 2)"/>
              <wp:cNvGraphicFramePr/>
              <a:graphic xmlns:a="http://schemas.openxmlformats.org/drawingml/2006/main">
                <a:graphicData uri="http://schemas.openxmlformats.org/drawingml/2006/picture">
                  <pic:pic xmlns:pic="http://schemas.openxmlformats.org/drawingml/2006/picture">
                    <pic:nvPicPr>
                      <pic:cNvPr id="6" name="Picture 6" descr="Logotip u boji (verzija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700" cy="406400"/>
                      </a:xfrm>
                      <a:prstGeom prst="rect">
                        <a:avLst/>
                      </a:prstGeom>
                      <a:noFill/>
                      <a:ln>
                        <a:noFill/>
                      </a:ln>
                    </pic:spPr>
                  </pic:pic>
                </a:graphicData>
              </a:graphic>
            </wp:inline>
          </w:drawing>
        </w:r>
        <w:r>
          <w:tab/>
        </w:r>
        <w:sdt>
          <w:sdtPr>
            <w:rPr>
              <w:lang w:val="sq-AL"/>
            </w:rPr>
            <w:id w:val="1951969857"/>
            <w:docPartObj>
              <w:docPartGallery w:val="Page Numbers (Bottom of Page)"/>
              <w:docPartUnique/>
            </w:docPartObj>
          </w:sdtPr>
          <w:sdtEndPr>
            <w:rPr>
              <w:color w:val="7F7F7F" w:themeColor="background1" w:themeShade="7F"/>
              <w:spacing w:val="60"/>
              <w:lang w:val="en-GB"/>
            </w:rPr>
          </w:sdtEndPr>
          <w:sdtContent>
            <w:r w:rsidRPr="00374E3B">
              <w:rPr>
                <w:rFonts w:cstheme="minorHAnsi"/>
                <w:sz w:val="18"/>
                <w:szCs w:val="16"/>
                <w:lang w:val="sq-AL"/>
              </w:rPr>
              <w:t>Financuar nga Bashkimi Evropian</w:t>
            </w:r>
            <w:r w:rsidRPr="006F14A0">
              <w:rPr>
                <w:rFonts w:cstheme="minorHAnsi"/>
                <w:sz w:val="18"/>
                <w:szCs w:val="16"/>
              </w:rPr>
              <w:t xml:space="preserve"> </w:t>
            </w:r>
            <w:r w:rsidRPr="00AE77E9">
              <w:rPr>
                <w:noProof/>
                <w:sz w:val="16"/>
                <w:lang w:val="en-US"/>
              </w:rPr>
              <w:drawing>
                <wp:inline distT="0" distB="0" distL="0" distR="0" wp14:anchorId="483517B0" wp14:editId="37DA88A4">
                  <wp:extent cx="55245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5px-Flag_of_Europe.svg.png"/>
                          <pic:cNvPicPr/>
                        </pic:nvPicPr>
                        <pic:blipFill>
                          <a:blip r:embed="rId3"/>
                          <a:stretch>
                            <a:fillRect/>
                          </a:stretch>
                        </pic:blipFill>
                        <pic:spPr>
                          <a:xfrm flipH="1">
                            <a:off x="0" y="0"/>
                            <a:ext cx="563579" cy="375719"/>
                          </a:xfrm>
                          <a:prstGeom prst="rect">
                            <a:avLst/>
                          </a:prstGeom>
                        </pic:spPr>
                      </pic:pic>
                    </a:graphicData>
                  </a:graphic>
                </wp:inline>
              </w:drawing>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55CF" w14:textId="77777777" w:rsidR="00867998" w:rsidRDefault="00867998" w:rsidP="006A028A">
      <w:pPr>
        <w:spacing w:line="240" w:lineRule="auto"/>
      </w:pPr>
      <w:bookmarkStart w:id="0" w:name="_Hlk509231822"/>
      <w:bookmarkEnd w:id="0"/>
      <w:r>
        <w:separator/>
      </w:r>
    </w:p>
  </w:footnote>
  <w:footnote w:type="continuationSeparator" w:id="0">
    <w:p w14:paraId="22BD804B" w14:textId="77777777" w:rsidR="00867998" w:rsidRDefault="00867998" w:rsidP="006A028A">
      <w:pPr>
        <w:spacing w:line="240" w:lineRule="auto"/>
      </w:pPr>
      <w:r>
        <w:continuationSeparator/>
      </w:r>
    </w:p>
  </w:footnote>
  <w:footnote w:type="continuationNotice" w:id="1">
    <w:p w14:paraId="305988A5" w14:textId="77777777" w:rsidR="00867998" w:rsidRDefault="00867998">
      <w:pPr>
        <w:spacing w:line="240" w:lineRule="auto"/>
      </w:pPr>
    </w:p>
  </w:footnote>
  <w:footnote w:id="2">
    <w:p w14:paraId="3E28853C" w14:textId="3DD121A2" w:rsidR="00867998" w:rsidRPr="0059516E" w:rsidRDefault="00867998" w:rsidP="00AE77E9">
      <w:pPr>
        <w:pStyle w:val="FootnoteText"/>
        <w:ind w:firstLine="0"/>
        <w:rPr>
          <w:lang w:val="sq-AL"/>
        </w:rPr>
      </w:pPr>
      <w:r w:rsidRPr="0059516E">
        <w:rPr>
          <w:rStyle w:val="FootnoteReference"/>
          <w:lang w:val="sq-AL"/>
        </w:rPr>
        <w:sym w:font="Symbol" w:char="F02A"/>
      </w:r>
      <w:r w:rsidRPr="0059516E">
        <w:rPr>
          <w:lang w:val="sq-AL"/>
        </w:rPr>
        <w:t xml:space="preserve"> </w:t>
      </w:r>
      <w:r w:rsidRPr="0059516E">
        <w:rPr>
          <w:rFonts w:ascii="TimesNewRoman" w:hAnsi="TimesNewRoman"/>
          <w:lang w:val="sq-AL" w:eastAsia="en-GB"/>
        </w:rPr>
        <w:t xml:space="preserve">Ky përcaktim </w:t>
      </w:r>
      <w:r>
        <w:rPr>
          <w:rFonts w:ascii="TimesNewRoman" w:hAnsi="TimesNewRoman"/>
          <w:lang w:val="sq-AL" w:eastAsia="en-GB"/>
        </w:rPr>
        <w:t xml:space="preserve">është pa paragjykim </w:t>
      </w:r>
      <w:r w:rsidRPr="0059516E">
        <w:rPr>
          <w:rFonts w:ascii="TimesNewRoman" w:hAnsi="TimesNewRoman"/>
          <w:lang w:val="sq-AL" w:eastAsia="en-GB"/>
        </w:rPr>
        <w:t xml:space="preserve">ndaj </w:t>
      </w:r>
      <w:r>
        <w:rPr>
          <w:rFonts w:ascii="TimesNewRoman" w:hAnsi="TimesNewRoman"/>
          <w:lang w:val="sq-AL" w:eastAsia="en-GB"/>
        </w:rPr>
        <w:t xml:space="preserve">qëndrimeve mbi statusin </w:t>
      </w:r>
      <w:r w:rsidRPr="0059516E">
        <w:rPr>
          <w:rFonts w:ascii="TimesNewRoman" w:hAnsi="TimesNewRoman"/>
          <w:lang w:val="sq-AL" w:eastAsia="en-GB"/>
        </w:rPr>
        <w:t>dhe është në përputhje me RKSKB 1244/1999 dhe Opinionin e GJND-së mbi shpalljen e pavarësisë së Kosovës.</w:t>
      </w:r>
    </w:p>
  </w:footnote>
  <w:footnote w:id="3">
    <w:p w14:paraId="074E54B3" w14:textId="5A2E4B88" w:rsidR="00867998" w:rsidRPr="0059516E" w:rsidRDefault="00867998">
      <w:pPr>
        <w:pStyle w:val="FootnoteText"/>
        <w:rPr>
          <w:lang w:val="sq-AL"/>
        </w:rPr>
      </w:pPr>
      <w:r w:rsidRPr="0059516E">
        <w:rPr>
          <w:rStyle w:val="FootnoteReference"/>
          <w:lang w:val="sq-AL"/>
        </w:rPr>
        <w:footnoteRef/>
      </w:r>
      <w:r w:rsidRPr="0059516E">
        <w:rPr>
          <w:lang w:val="sq-AL"/>
        </w:rPr>
        <w:t xml:space="preserve"> </w:t>
      </w:r>
      <w:r w:rsidRPr="0059516E">
        <w:rPr>
          <w:rFonts w:asciiTheme="minorHAnsi" w:hAnsiTheme="minorHAnsi" w:cstheme="minorHAnsi"/>
          <w:sz w:val="18"/>
          <w:lang w:val="sq-AL"/>
        </w:rPr>
        <w:t xml:space="preserve">Portali është </w:t>
      </w:r>
      <w:proofErr w:type="spellStart"/>
      <w:r w:rsidRPr="0059516E">
        <w:rPr>
          <w:rFonts w:asciiTheme="minorHAnsi" w:hAnsiTheme="minorHAnsi" w:cstheme="minorHAnsi"/>
          <w:sz w:val="18"/>
          <w:lang w:val="sq-AL"/>
        </w:rPr>
        <w:t>online</w:t>
      </w:r>
      <w:proofErr w:type="spellEnd"/>
      <w:r w:rsidRPr="0059516E">
        <w:rPr>
          <w:rFonts w:asciiTheme="minorHAnsi" w:hAnsiTheme="minorHAnsi" w:cstheme="minorHAnsi"/>
          <w:sz w:val="18"/>
          <w:lang w:val="sq-AL"/>
        </w:rPr>
        <w:t xml:space="preserve"> dhe i qasshëm në </w:t>
      </w:r>
      <w:hyperlink r:id="rId1" w:history="1">
        <w:r w:rsidRPr="0059516E">
          <w:rPr>
            <w:rStyle w:val="Hyperlink"/>
            <w:rFonts w:asciiTheme="minorHAnsi" w:hAnsiTheme="minorHAnsi" w:cstheme="minorHAnsi"/>
            <w:sz w:val="18"/>
            <w:lang w:val="sq-AL"/>
          </w:rPr>
          <w:t>http://</w:t>
        </w:r>
        <w:r>
          <w:rPr>
            <w:rStyle w:val="Hyperlink"/>
            <w:rFonts w:asciiTheme="minorHAnsi" w:hAnsiTheme="minorHAnsi" w:cstheme="minorHAnsi"/>
            <w:sz w:val="18"/>
            <w:lang w:val="sq-AL"/>
          </w:rPr>
          <w:t>ëëë</w:t>
        </w:r>
        <w:r w:rsidRPr="0059516E">
          <w:rPr>
            <w:rStyle w:val="Hyperlink"/>
            <w:rFonts w:asciiTheme="minorHAnsi" w:hAnsiTheme="minorHAnsi" w:cstheme="minorHAnsi"/>
            <w:sz w:val="18"/>
            <w:lang w:val="sq-AL"/>
          </w:rPr>
          <w:t>.investinsee.com</w:t>
        </w:r>
      </w:hyperlink>
    </w:p>
  </w:footnote>
  <w:footnote w:id="4">
    <w:p w14:paraId="33B8C0A8" w14:textId="45AE2848" w:rsidR="00867998" w:rsidRPr="0059516E" w:rsidRDefault="00867998" w:rsidP="0020084D">
      <w:pPr>
        <w:pStyle w:val="FootnoteText"/>
        <w:ind w:firstLine="0"/>
        <w:rPr>
          <w:rFonts w:asciiTheme="minorHAnsi" w:hAnsiTheme="minorHAnsi" w:cstheme="minorHAnsi"/>
          <w:sz w:val="18"/>
          <w:lang w:val="sq-AL"/>
        </w:rPr>
      </w:pPr>
      <w:r w:rsidRPr="0059516E">
        <w:rPr>
          <w:rStyle w:val="FootnoteReference"/>
          <w:lang w:val="sq-AL"/>
        </w:rPr>
        <w:sym w:font="Symbol" w:char="F02A"/>
      </w:r>
      <w:r w:rsidRPr="0059516E">
        <w:rPr>
          <w:lang w:val="sq-AL"/>
        </w:rPr>
        <w:t xml:space="preserve"> </w:t>
      </w:r>
      <w:r w:rsidRPr="0059516E">
        <w:rPr>
          <w:rFonts w:asciiTheme="minorHAnsi" w:hAnsiTheme="minorHAnsi" w:cstheme="minorHAnsi"/>
          <w:sz w:val="18"/>
          <w:lang w:val="sq-AL"/>
        </w:rPr>
        <w:t xml:space="preserve">Ky është emërtim origjinal i një institucioni dhe nuk përfaqëson pikëpamjet e KBR. Ky përcaktim nuk </w:t>
      </w:r>
      <w:r>
        <w:rPr>
          <w:rFonts w:asciiTheme="minorHAnsi" w:hAnsiTheme="minorHAnsi" w:cstheme="minorHAnsi"/>
          <w:sz w:val="18"/>
          <w:lang w:val="sq-AL"/>
        </w:rPr>
        <w:t>paragjykon</w:t>
      </w:r>
      <w:r w:rsidRPr="0059516E">
        <w:rPr>
          <w:rFonts w:asciiTheme="minorHAnsi" w:hAnsiTheme="minorHAnsi" w:cstheme="minorHAnsi"/>
          <w:sz w:val="18"/>
          <w:lang w:val="sq-AL"/>
        </w:rPr>
        <w:t xml:space="preserve"> qëndrimet ndaj statusit të Kosovës *.</w:t>
      </w:r>
    </w:p>
  </w:footnote>
  <w:footnote w:id="5">
    <w:p w14:paraId="37F3E0D6" w14:textId="6C4AEE8A" w:rsidR="00867998" w:rsidRPr="0059516E" w:rsidRDefault="00867998" w:rsidP="005B2877">
      <w:pPr>
        <w:pStyle w:val="FootnoteText"/>
        <w:ind w:firstLine="0"/>
        <w:rPr>
          <w:rFonts w:asciiTheme="minorHAnsi" w:hAnsiTheme="minorHAnsi" w:cstheme="minorHAnsi"/>
          <w:sz w:val="18"/>
          <w:lang w:val="sq-AL"/>
        </w:rPr>
      </w:pPr>
      <w:r w:rsidRPr="0059516E">
        <w:rPr>
          <w:rStyle w:val="FootnoteReference"/>
          <w:lang w:val="sq-AL"/>
        </w:rPr>
        <w:sym w:font="Symbol" w:char="F02A"/>
      </w:r>
      <w:r w:rsidRPr="0059516E">
        <w:rPr>
          <w:lang w:val="sq-AL"/>
        </w:rPr>
        <w:t xml:space="preserve"> </w:t>
      </w:r>
      <w:r w:rsidRPr="0059516E">
        <w:rPr>
          <w:rFonts w:asciiTheme="minorHAnsi" w:hAnsiTheme="minorHAnsi" w:cstheme="minorHAnsi"/>
          <w:sz w:val="18"/>
          <w:lang w:val="sq-AL"/>
        </w:rPr>
        <w:t>Ky është emërtim origjinal i një institucioni dhe nuk përfaqëson pikëpamjet e KBR. Ky përcaktim nuk cenon qëndrimet ndaj statusit të Kosovës *.</w:t>
      </w:r>
    </w:p>
  </w:footnote>
  <w:footnote w:id="6">
    <w:p w14:paraId="1E5871F3" w14:textId="2408B99C" w:rsidR="00867998" w:rsidRDefault="00867998" w:rsidP="72A5C518">
      <w:pPr>
        <w:pStyle w:val="FootnoteText"/>
        <w:ind w:firstLine="0"/>
        <w:rPr>
          <w:rFonts w:asciiTheme="majorHAnsi" w:eastAsiaTheme="minorEastAsia" w:hAnsiTheme="majorHAnsi" w:cstheme="majorBidi"/>
          <w:sz w:val="18"/>
          <w:szCs w:val="18"/>
          <w:lang w:val="sq-AL"/>
        </w:rPr>
      </w:pPr>
      <w:r w:rsidRPr="0059516E">
        <w:rPr>
          <w:rStyle w:val="FootnoteReference"/>
          <w:rFonts w:asciiTheme="minorHAnsi" w:hAnsiTheme="minorHAnsi" w:cstheme="minorBidi"/>
          <w:sz w:val="18"/>
          <w:szCs w:val="18"/>
          <w:lang w:val="sq-AL"/>
        </w:rPr>
        <w:footnoteRef/>
      </w:r>
      <w:r w:rsidRPr="0059516E">
        <w:rPr>
          <w:rFonts w:asciiTheme="minorHAnsi" w:eastAsiaTheme="minorEastAsia" w:hAnsiTheme="minorHAnsi" w:cstheme="minorBidi"/>
          <w:sz w:val="16"/>
          <w:szCs w:val="16"/>
          <w:lang w:val="sq-AL"/>
        </w:rPr>
        <w:t xml:space="preserve"> </w:t>
      </w:r>
      <w:r w:rsidRPr="0059516E">
        <w:rPr>
          <w:rFonts w:asciiTheme="majorHAnsi" w:eastAsiaTheme="minorEastAsia" w:hAnsiTheme="majorHAnsi" w:cstheme="majorBidi"/>
          <w:sz w:val="18"/>
          <w:szCs w:val="18"/>
          <w:lang w:val="sq-AL"/>
        </w:rPr>
        <w:t>Kolektivisht,</w:t>
      </w:r>
      <w:r w:rsidRPr="00B83E9E">
        <w:rPr>
          <w:rFonts w:asciiTheme="majorHAnsi" w:eastAsiaTheme="minorEastAsia" w:hAnsiTheme="majorHAnsi" w:cstheme="majorBidi"/>
          <w:sz w:val="18"/>
          <w:szCs w:val="18"/>
          <w:lang w:val="sq-AL"/>
        </w:rPr>
        <w:t xml:space="preserve"> çdo marrëveshje ndërkombëtare që rregullon investimet referohet si  Marrëveshje Ndërkombëtare e Investimeve (IIA). Angazhimet </w:t>
      </w:r>
      <w:r>
        <w:rPr>
          <w:rFonts w:asciiTheme="majorHAnsi" w:eastAsiaTheme="minorEastAsia" w:hAnsiTheme="majorHAnsi" w:cstheme="majorBidi"/>
          <w:sz w:val="18"/>
          <w:szCs w:val="18"/>
          <w:lang w:val="sq-AL"/>
        </w:rPr>
        <w:t xml:space="preserve">e </w:t>
      </w:r>
      <w:r w:rsidRPr="00B83E9E">
        <w:rPr>
          <w:rFonts w:asciiTheme="majorHAnsi" w:eastAsiaTheme="minorEastAsia" w:hAnsiTheme="majorHAnsi" w:cstheme="majorBidi"/>
          <w:sz w:val="18"/>
          <w:szCs w:val="18"/>
          <w:lang w:val="sq-AL"/>
        </w:rPr>
        <w:t>investime</w:t>
      </w:r>
      <w:r>
        <w:rPr>
          <w:rFonts w:asciiTheme="majorHAnsi" w:eastAsiaTheme="minorEastAsia" w:hAnsiTheme="majorHAnsi" w:cstheme="majorBidi"/>
          <w:sz w:val="18"/>
          <w:szCs w:val="18"/>
          <w:lang w:val="sq-AL"/>
        </w:rPr>
        <w:t xml:space="preserve">ve ndërkombëtare </w:t>
      </w:r>
      <w:r w:rsidRPr="00B83E9E">
        <w:rPr>
          <w:rFonts w:asciiTheme="majorHAnsi" w:eastAsiaTheme="minorEastAsia" w:hAnsiTheme="majorHAnsi" w:cstheme="majorBidi"/>
          <w:sz w:val="18"/>
          <w:szCs w:val="18"/>
          <w:lang w:val="sq-AL"/>
        </w:rPr>
        <w:t xml:space="preserve"> janë të përcaktuara në traktate, qoftë bilaterale ose në marrëveshje  rajonale ose multilaterale. Disa traktate kanë të bëjnë vetëm me investime të huaja (zakonisht të referuara si traktate bilaterale të investimeve ose "</w:t>
      </w:r>
      <w:r>
        <w:rPr>
          <w:rFonts w:asciiTheme="majorHAnsi" w:eastAsiaTheme="minorEastAsia" w:hAnsiTheme="majorHAnsi" w:cstheme="majorBidi"/>
          <w:sz w:val="18"/>
          <w:szCs w:val="18"/>
          <w:lang w:val="sq-AL"/>
        </w:rPr>
        <w:t>TBI</w:t>
      </w:r>
      <w:r w:rsidRPr="00B83E9E">
        <w:rPr>
          <w:rFonts w:asciiTheme="majorHAnsi" w:eastAsiaTheme="minorEastAsia" w:hAnsiTheme="majorHAnsi" w:cstheme="majorBidi"/>
          <w:sz w:val="18"/>
          <w:szCs w:val="18"/>
          <w:lang w:val="sq-AL"/>
        </w:rPr>
        <w:t>"). Të tjerat kanë të bëjnë me investimeve së bashku me çështjet e tjera të lidhura, siç janë tregtia, prokurimi qeveritar, konkurrenca dhe pronësia intelektuale (marrëveshjet preferenciale ose të tregtisë së lirë, ose "PTA-të"). Për më tepër, ekzistojnë disa traktate multilaterale që ofrojnë mbrojtje të veçantë në sektorin e energjisë ("</w:t>
      </w:r>
      <w:r>
        <w:rPr>
          <w:rFonts w:asciiTheme="majorHAnsi" w:eastAsiaTheme="minorEastAsia" w:hAnsiTheme="majorHAnsi" w:cstheme="majorBidi"/>
          <w:sz w:val="18"/>
          <w:szCs w:val="18"/>
          <w:lang w:val="sq-AL"/>
        </w:rPr>
        <w:t>Traktati i Kartës së Energjisë</w:t>
      </w:r>
      <w:r w:rsidRPr="00B83E9E">
        <w:rPr>
          <w:rFonts w:asciiTheme="majorHAnsi" w:eastAsiaTheme="minorEastAsia" w:hAnsiTheme="majorHAnsi" w:cstheme="majorBidi"/>
          <w:sz w:val="18"/>
          <w:szCs w:val="18"/>
          <w:lang w:val="sq-AL"/>
        </w:rPr>
        <w:t>") ose që sigurojnë qasje në organe të posaçme për zgjidhjen e mosmarrëveshjeve (Marrëveshja e ICSID). Më tej, instrumente të shumta ligjore, duke përfshirë, për shembull, traktatet e taksimit të dyfishtë (DTT-të).</w:t>
      </w:r>
      <w:r w:rsidRPr="0059516E">
        <w:rPr>
          <w:rFonts w:asciiTheme="majorHAnsi" w:eastAsiaTheme="minorEastAsia" w:hAnsiTheme="majorHAnsi" w:cstheme="majorBidi"/>
          <w:sz w:val="18"/>
          <w:szCs w:val="18"/>
          <w:lang w:val="sq-AL"/>
        </w:rPr>
        <w:t xml:space="preserve"> </w:t>
      </w:r>
    </w:p>
    <w:p w14:paraId="1D5EFE88" w14:textId="361090B5" w:rsidR="00867998" w:rsidRPr="0059516E" w:rsidRDefault="00867998" w:rsidP="72A5C518">
      <w:pPr>
        <w:pStyle w:val="FootnoteText"/>
        <w:ind w:firstLine="0"/>
        <w:rPr>
          <w:rFonts w:asciiTheme="majorHAnsi" w:eastAsiaTheme="minorEastAsia" w:hAnsiTheme="majorHAnsi" w:cstheme="majorBidi"/>
          <w:sz w:val="18"/>
          <w:szCs w:val="18"/>
          <w:lang w:val="sq-AL"/>
        </w:rPr>
      </w:pPr>
    </w:p>
  </w:footnote>
  <w:footnote w:id="7">
    <w:p w14:paraId="6057564F" w14:textId="4C776B2D" w:rsidR="00867998" w:rsidRPr="0059516E" w:rsidRDefault="00867998" w:rsidP="72A5C518">
      <w:pPr>
        <w:pStyle w:val="FootnoteText"/>
        <w:ind w:firstLine="0"/>
        <w:rPr>
          <w:rFonts w:ascii="Sabon-Roman" w:eastAsiaTheme="minorEastAsia" w:hAnsi="Sabon-Roman" w:cs="Sabon-Roman"/>
          <w:sz w:val="18"/>
          <w:szCs w:val="18"/>
          <w:lang w:val="sq-AL"/>
        </w:rPr>
      </w:pPr>
      <w:r w:rsidRPr="0059516E">
        <w:rPr>
          <w:rStyle w:val="FootnoteReference"/>
          <w:rFonts w:asciiTheme="minorHAnsi" w:hAnsiTheme="minorHAnsi" w:cstheme="minorBidi"/>
          <w:sz w:val="18"/>
          <w:szCs w:val="18"/>
          <w:lang w:val="sq-AL"/>
        </w:rPr>
        <w:footnoteRef/>
      </w:r>
      <w:r w:rsidRPr="0059516E">
        <w:rPr>
          <w:rStyle w:val="FootnoteReference"/>
          <w:rFonts w:asciiTheme="minorHAnsi" w:hAnsiTheme="minorHAnsi" w:cstheme="minorBidi"/>
          <w:sz w:val="18"/>
          <w:szCs w:val="18"/>
          <w:lang w:val="sq-AL"/>
        </w:rPr>
        <w:t xml:space="preserve"> </w:t>
      </w:r>
      <w:r w:rsidRPr="0059516E">
        <w:rPr>
          <w:rFonts w:asciiTheme="majorHAnsi" w:eastAsiaTheme="minorEastAsia" w:hAnsiTheme="majorHAnsi" w:cstheme="majorBidi"/>
          <w:sz w:val="18"/>
          <w:szCs w:val="18"/>
          <w:lang w:val="sq-AL"/>
        </w:rPr>
        <w:t>Marrëveshja CEFTA nuk do të ndikohet nga ky veprim i reformës.</w:t>
      </w:r>
    </w:p>
  </w:footnote>
  <w:footnote w:id="8">
    <w:p w14:paraId="1233B183" w14:textId="53E6428A" w:rsidR="00867998" w:rsidRPr="0059516E" w:rsidRDefault="00867998" w:rsidP="008074A6">
      <w:pPr>
        <w:pStyle w:val="FootnoteText"/>
        <w:ind w:firstLine="0"/>
        <w:rPr>
          <w:rFonts w:asciiTheme="minorHAnsi" w:hAnsiTheme="minorHAnsi" w:cstheme="minorBidi"/>
          <w:lang w:val="sq-AL"/>
        </w:rPr>
      </w:pPr>
      <w:r w:rsidRPr="0059516E">
        <w:rPr>
          <w:rStyle w:val="FootnoteReference"/>
          <w:rFonts w:asciiTheme="minorHAnsi" w:hAnsiTheme="minorHAnsi" w:cstheme="minorBidi"/>
          <w:sz w:val="18"/>
          <w:szCs w:val="18"/>
          <w:lang w:val="sq-AL"/>
        </w:rPr>
        <w:footnoteRef/>
      </w:r>
      <w:r w:rsidRPr="0059516E">
        <w:rPr>
          <w:rFonts w:asciiTheme="minorHAnsi" w:hAnsiTheme="minorHAnsi" w:cstheme="minorBidi"/>
          <w:sz w:val="18"/>
          <w:szCs w:val="18"/>
          <w:lang w:val="sq-AL"/>
        </w:rPr>
        <w:t xml:space="preserve"> Mundësitë për lidhjen me financimin e KIBP (FEI) do të hulumtohen për veprimet e reformës në </w:t>
      </w:r>
      <w:r>
        <w:rPr>
          <w:rFonts w:asciiTheme="minorHAnsi" w:hAnsiTheme="minorHAnsi" w:cstheme="minorBidi"/>
          <w:sz w:val="18"/>
          <w:szCs w:val="18"/>
          <w:lang w:val="sq-AL"/>
        </w:rPr>
        <w:t xml:space="preserve">promovimin </w:t>
      </w:r>
      <w:r w:rsidRPr="0059516E">
        <w:rPr>
          <w:rFonts w:asciiTheme="minorHAnsi" w:hAnsiTheme="minorHAnsi" w:cstheme="minorBidi"/>
          <w:sz w:val="18"/>
          <w:szCs w:val="18"/>
          <w:lang w:val="sq-AL"/>
        </w:rPr>
        <w:t>e investimeve aty ku është e mundur dhe ku konsiderohen të përshtatshme.</w:t>
      </w:r>
    </w:p>
  </w:footnote>
  <w:footnote w:id="9">
    <w:p w14:paraId="796B229E" w14:textId="350A5612" w:rsidR="00867998" w:rsidRPr="0059516E" w:rsidRDefault="00867998" w:rsidP="00C422E9">
      <w:pPr>
        <w:pStyle w:val="FootnoteText"/>
        <w:ind w:firstLine="0"/>
        <w:rPr>
          <w:rFonts w:asciiTheme="minorHAnsi" w:hAnsiTheme="minorHAnsi" w:cstheme="minorHAnsi"/>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MNI-të që përdorin një </w:t>
      </w:r>
      <w:r>
        <w:rPr>
          <w:rFonts w:asciiTheme="minorHAnsi" w:hAnsiTheme="minorHAnsi" w:cstheme="minorHAnsi"/>
          <w:lang w:val="sq-AL"/>
        </w:rPr>
        <w:t xml:space="preserve">qasje të listës negative </w:t>
      </w:r>
      <w:r w:rsidRPr="0059516E">
        <w:rPr>
          <w:rFonts w:asciiTheme="minorHAnsi" w:hAnsiTheme="minorHAnsi" w:cstheme="minorHAnsi"/>
          <w:lang w:val="sq-AL"/>
        </w:rPr>
        <w:t xml:space="preserve">zakonisht përfshijnë, si shtojcë, një listë të </w:t>
      </w:r>
      <w:proofErr w:type="spellStart"/>
      <w:r w:rsidRPr="0059516E">
        <w:rPr>
          <w:rFonts w:asciiTheme="minorHAnsi" w:hAnsiTheme="minorHAnsi" w:cstheme="minorHAnsi"/>
          <w:lang w:val="sq-AL"/>
        </w:rPr>
        <w:t>të</w:t>
      </w:r>
      <w:proofErr w:type="spellEnd"/>
      <w:r w:rsidRPr="0059516E">
        <w:rPr>
          <w:rFonts w:asciiTheme="minorHAnsi" w:hAnsiTheme="minorHAnsi" w:cstheme="minorHAnsi"/>
          <w:lang w:val="sq-AL"/>
        </w:rPr>
        <w:t xml:space="preserve"> gjitha ligjeve dhe rregulloreve që përbëjnë barriera për investitorët e huaj që nuk janë në përputhje me zotimet e përgjithshme të MNI-së, të cilat quhen </w:t>
      </w:r>
      <w:r>
        <w:rPr>
          <w:rFonts w:asciiTheme="minorHAnsi" w:hAnsiTheme="minorHAnsi" w:cstheme="minorHAnsi"/>
          <w:lang w:val="sq-AL"/>
        </w:rPr>
        <w:t>Masa</w:t>
      </w:r>
      <w:r w:rsidRPr="00B6519A">
        <w:rPr>
          <w:rFonts w:asciiTheme="minorHAnsi" w:hAnsiTheme="minorHAnsi" w:cstheme="minorHAnsi"/>
          <w:lang w:val="sq-AL"/>
        </w:rPr>
        <w:t xml:space="preserve"> Mos-</w:t>
      </w:r>
      <w:proofErr w:type="spellStart"/>
      <w:r w:rsidRPr="00B6519A">
        <w:rPr>
          <w:rFonts w:asciiTheme="minorHAnsi" w:hAnsiTheme="minorHAnsi" w:cstheme="minorHAnsi"/>
          <w:lang w:val="sq-AL"/>
        </w:rPr>
        <w:t>Përputhëse</w:t>
      </w:r>
      <w:proofErr w:type="spellEnd"/>
      <w:r>
        <w:rPr>
          <w:rFonts w:asciiTheme="minorHAnsi" w:hAnsiTheme="minorHAnsi" w:cstheme="minorHAnsi"/>
          <w:lang w:val="sq-AL"/>
        </w:rPr>
        <w:t xml:space="preserve"> (masat jo </w:t>
      </w:r>
      <w:proofErr w:type="spellStart"/>
      <w:r>
        <w:rPr>
          <w:rFonts w:asciiTheme="minorHAnsi" w:hAnsiTheme="minorHAnsi" w:cstheme="minorHAnsi"/>
          <w:lang w:val="sq-AL"/>
        </w:rPr>
        <w:t>konforme</w:t>
      </w:r>
      <w:proofErr w:type="spellEnd"/>
      <w:r>
        <w:rPr>
          <w:rFonts w:asciiTheme="minorHAnsi" w:hAnsiTheme="minorHAnsi" w:cstheme="minorHAnsi"/>
          <w:lang w:val="sq-AL"/>
        </w:rPr>
        <w:t>)</w:t>
      </w:r>
      <w:r w:rsidRPr="0059516E">
        <w:rPr>
          <w:rFonts w:asciiTheme="minorHAnsi" w:hAnsiTheme="minorHAnsi" w:cstheme="minorHAnsi"/>
          <w:lang w:val="sq-AL"/>
        </w:rPr>
        <w:t xml:space="preserve">. </w:t>
      </w:r>
      <w:r w:rsidRPr="00A25D1E">
        <w:rPr>
          <w:rFonts w:asciiTheme="minorHAnsi" w:hAnsiTheme="minorHAnsi" w:cstheme="minorHAnsi"/>
          <w:lang w:val="sq-AL"/>
        </w:rPr>
        <w:t xml:space="preserve">Ekonomitë si ato të SHBA, Kanadasë apo Japonisë përdorin një </w:t>
      </w:r>
      <w:r>
        <w:rPr>
          <w:rFonts w:asciiTheme="minorHAnsi" w:hAnsiTheme="minorHAnsi" w:cstheme="minorHAnsi"/>
          <w:lang w:val="sq-AL"/>
        </w:rPr>
        <w:t>qasje t</w:t>
      </w:r>
      <w:r w:rsidRPr="00A25D1E">
        <w:rPr>
          <w:rFonts w:asciiTheme="minorHAnsi" w:hAnsiTheme="minorHAnsi" w:cstheme="minorHAnsi"/>
          <w:lang w:val="sq-AL"/>
        </w:rPr>
        <w:t>ë list</w:t>
      </w:r>
      <w:r>
        <w:rPr>
          <w:rFonts w:asciiTheme="minorHAnsi" w:hAnsiTheme="minorHAnsi" w:cstheme="minorHAnsi"/>
          <w:lang w:val="sq-AL"/>
        </w:rPr>
        <w:t>ës negative në</w:t>
      </w:r>
      <w:r w:rsidRPr="00A25D1E">
        <w:rPr>
          <w:rFonts w:asciiTheme="minorHAnsi" w:hAnsiTheme="minorHAnsi" w:cstheme="minorHAnsi"/>
          <w:lang w:val="sq-AL"/>
        </w:rPr>
        <w:t xml:space="preserve"> MNI-të e tyre, gjë që kërkon krijimin e një </w:t>
      </w:r>
      <w:r>
        <w:rPr>
          <w:rFonts w:asciiTheme="minorHAnsi" w:hAnsiTheme="minorHAnsi" w:cstheme="minorHAnsi"/>
          <w:lang w:val="sq-AL"/>
        </w:rPr>
        <w:t>skeme</w:t>
      </w:r>
      <w:r w:rsidRPr="00A25D1E">
        <w:rPr>
          <w:rFonts w:asciiTheme="minorHAnsi" w:hAnsiTheme="minorHAnsi" w:cstheme="minorHAnsi"/>
          <w:lang w:val="sq-AL"/>
        </w:rPr>
        <w:t xml:space="preserve"> të M</w:t>
      </w:r>
      <w:r>
        <w:rPr>
          <w:rFonts w:asciiTheme="minorHAnsi" w:hAnsiTheme="minorHAnsi" w:cstheme="minorHAnsi"/>
          <w:lang w:val="sq-AL"/>
        </w:rPr>
        <w:t>MP</w:t>
      </w:r>
      <w:r w:rsidRPr="00A25D1E">
        <w:rPr>
          <w:rFonts w:asciiTheme="minorHAnsi" w:hAnsiTheme="minorHAnsi" w:cstheme="minorHAnsi"/>
          <w:lang w:val="sq-AL"/>
        </w:rPr>
        <w:t>-ve</w:t>
      </w:r>
      <w:r>
        <w:rPr>
          <w:rFonts w:asciiTheme="minorHAnsi" w:hAnsiTheme="minorHAnsi" w:cstheme="minorHAnsi"/>
          <w:lang w:val="sq-AL"/>
        </w:rPr>
        <w:t xml:space="preserve"> (NCM)</w:t>
      </w:r>
      <w:r w:rsidRPr="0059516E">
        <w:rPr>
          <w:rFonts w:asciiTheme="minorHAnsi" w:hAnsiTheme="minorHAnsi" w:cstheme="minorHAnsi"/>
          <w:lang w:val="sq-AL"/>
        </w:rPr>
        <w:t>.</w:t>
      </w:r>
    </w:p>
  </w:footnote>
  <w:footnote w:id="10">
    <w:p w14:paraId="1E1BFB8A" w14:textId="203F7E7C" w:rsidR="00867998" w:rsidRPr="0059516E" w:rsidRDefault="00867998" w:rsidP="00C422E9">
      <w:pPr>
        <w:pStyle w:val="FootnoteText"/>
        <w:ind w:firstLine="0"/>
        <w:rPr>
          <w:rFonts w:asciiTheme="minorHAnsi" w:hAnsiTheme="minorHAnsi" w:cstheme="minorHAnsi"/>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w:t>
      </w:r>
      <w:r w:rsidRPr="003A7E8D">
        <w:rPr>
          <w:rFonts w:asciiTheme="minorHAnsi" w:hAnsiTheme="minorHAnsi" w:cstheme="minorHAnsi"/>
          <w:lang w:val="sq-AL"/>
        </w:rPr>
        <w:t>Modalitetit 3 i shërbimeve të tregtisë mbulon shërbimet e ofruara nga një ofrues i shërbimeve të një anëtari të OBT-së, nëpërmjet prezencës tregtare, në territorin e çdo anëtari tjetër</w:t>
      </w:r>
      <w:r w:rsidRPr="0059516E">
        <w:rPr>
          <w:rFonts w:asciiTheme="minorHAnsi" w:hAnsiTheme="minorHAnsi" w:cstheme="minorHAnsi"/>
          <w:lang w:val="sq-AL"/>
        </w:rPr>
        <w:t>.</w:t>
      </w:r>
    </w:p>
  </w:footnote>
  <w:footnote w:id="11">
    <w:p w14:paraId="328DA597" w14:textId="686AABC6" w:rsidR="00867998" w:rsidRPr="0059516E" w:rsidRDefault="00867998" w:rsidP="00C422E9">
      <w:pPr>
        <w:pStyle w:val="FootnoteText"/>
        <w:ind w:firstLine="0"/>
        <w:rPr>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w:t>
      </w:r>
      <w:r w:rsidRPr="003A28BE">
        <w:rPr>
          <w:rFonts w:asciiTheme="minorHAnsi" w:hAnsiTheme="minorHAnsi" w:cstheme="minorHAnsi"/>
          <w:lang w:val="sq-AL"/>
        </w:rPr>
        <w:t xml:space="preserve">Në MNI-të, </w:t>
      </w:r>
      <w:proofErr w:type="spellStart"/>
      <w:r w:rsidRPr="003A28BE">
        <w:rPr>
          <w:rFonts w:asciiTheme="minorHAnsi" w:hAnsiTheme="minorHAnsi" w:cstheme="minorHAnsi"/>
          <w:lang w:val="sq-AL"/>
        </w:rPr>
        <w:t>mosdiskriminimi</w:t>
      </w:r>
      <w:proofErr w:type="spellEnd"/>
      <w:r w:rsidRPr="003A28BE">
        <w:rPr>
          <w:rFonts w:asciiTheme="minorHAnsi" w:hAnsiTheme="minorHAnsi" w:cstheme="minorHAnsi"/>
          <w:lang w:val="sq-AL"/>
        </w:rPr>
        <w:t xml:space="preserve"> garantohet si trajtim kombëtar (TK), duke siguruar që asnjë ekonomi nuk duhet të diskriminojë në favor të investitorëve të saj dhe trajtimin e kombit më të favorizuar (KMF), duke siguruar që asnjë ekonomi nuk do të diskriminojë në favor të një ekonomie të huaj mbi ekonomitë e tjera të huaja</w:t>
      </w:r>
      <w:r w:rsidRPr="0059516E">
        <w:rPr>
          <w:rFonts w:ascii="Calibri" w:eastAsiaTheme="minorEastAsia" w:hAnsi="Calibri" w:cs="Calibri"/>
          <w:lang w:val="sq-AL"/>
        </w:rPr>
        <w:t>.</w:t>
      </w:r>
    </w:p>
  </w:footnote>
  <w:footnote w:id="12">
    <w:p w14:paraId="7F165E21" w14:textId="25A23F55" w:rsidR="00867998" w:rsidRPr="0059516E" w:rsidRDefault="00867998" w:rsidP="00C422E9">
      <w:pPr>
        <w:pStyle w:val="FootnoteText"/>
        <w:ind w:firstLine="0"/>
        <w:rPr>
          <w:rFonts w:ascii="Calibri" w:eastAsiaTheme="minorEastAsia" w:hAnsi="Calibri" w:cs="Calibri"/>
          <w:lang w:val="sq-AL"/>
        </w:rPr>
      </w:pPr>
      <w:r w:rsidRPr="0059516E">
        <w:rPr>
          <w:rStyle w:val="FootnoteReference"/>
          <w:rFonts w:eastAsiaTheme="majorEastAsia"/>
          <w:lang w:val="sq-AL"/>
        </w:rPr>
        <w:footnoteRef/>
      </w:r>
      <w:r w:rsidRPr="0059516E">
        <w:rPr>
          <w:lang w:val="sq-AL"/>
        </w:rPr>
        <w:t xml:space="preserve"> </w:t>
      </w:r>
      <w:r w:rsidRPr="002265BF">
        <w:rPr>
          <w:rFonts w:ascii="Calibri" w:eastAsiaTheme="minorEastAsia" w:hAnsi="Calibri" w:cs="Calibri"/>
          <w:lang w:val="sq-AL"/>
        </w:rPr>
        <w:t>Kjo përjashton diskriminimin bazuar në faktin se investitorëve nga ekonomi të ndryshme mund t'u jepet e drejta ose garanci të ndryshme për shkak të ekzistencës së</w:t>
      </w:r>
      <w:r>
        <w:rPr>
          <w:rFonts w:ascii="Calibri" w:eastAsiaTheme="minorEastAsia" w:hAnsi="Calibri" w:cs="Calibri"/>
          <w:lang w:val="sq-AL"/>
        </w:rPr>
        <w:t xml:space="preserve"> </w:t>
      </w:r>
      <w:r w:rsidRPr="002265BF">
        <w:rPr>
          <w:rFonts w:ascii="Calibri" w:eastAsiaTheme="minorEastAsia" w:hAnsi="Calibri" w:cs="Calibri"/>
          <w:lang w:val="sq-AL"/>
        </w:rPr>
        <w:t>MNI-ve, por është e kufizuar në diskriminim përmes ligjeve ose rregulloreve vendore</w:t>
      </w:r>
      <w:r w:rsidRPr="0059516E">
        <w:rPr>
          <w:rFonts w:ascii="Calibri" w:eastAsiaTheme="minorEastAsia" w:hAnsi="Calibri" w:cs="Calibri"/>
          <w:lang w:val="sq-AL"/>
        </w:rPr>
        <w:t>.</w:t>
      </w:r>
    </w:p>
  </w:footnote>
  <w:footnote w:id="13">
    <w:p w14:paraId="182614BF" w14:textId="11F01E9D" w:rsidR="00867998" w:rsidRPr="0059516E" w:rsidRDefault="00867998" w:rsidP="00C422E9">
      <w:pPr>
        <w:pStyle w:val="FootnoteText"/>
        <w:ind w:firstLine="0"/>
        <w:rPr>
          <w:rFonts w:asciiTheme="minorHAnsi" w:hAnsiTheme="minorHAnsi" w:cstheme="minorHAnsi"/>
          <w:lang w:val="sq-AL"/>
        </w:rPr>
      </w:pPr>
      <w:r w:rsidRPr="0059516E">
        <w:rPr>
          <w:rStyle w:val="FootnoteReference"/>
          <w:rFonts w:eastAsiaTheme="majorEastAsia"/>
          <w:lang w:val="sq-AL"/>
        </w:rPr>
        <w:footnoteRef/>
      </w:r>
      <w:r w:rsidRPr="0059516E">
        <w:rPr>
          <w:lang w:val="sq-AL"/>
        </w:rPr>
        <w:t xml:space="preserve"> </w:t>
      </w:r>
      <w:r w:rsidRPr="0059516E">
        <w:rPr>
          <w:rFonts w:asciiTheme="minorHAnsi" w:hAnsiTheme="minorHAnsi" w:cstheme="minorHAnsi"/>
          <w:lang w:val="sq-AL"/>
        </w:rPr>
        <w:t xml:space="preserve">MNI-të që përdorin një </w:t>
      </w:r>
      <w:r>
        <w:rPr>
          <w:rFonts w:asciiTheme="minorHAnsi" w:hAnsiTheme="minorHAnsi" w:cstheme="minorHAnsi"/>
          <w:lang w:val="sq-AL"/>
        </w:rPr>
        <w:t>qasje të listës negative</w:t>
      </w:r>
      <w:r w:rsidRPr="0059516E">
        <w:rPr>
          <w:rFonts w:asciiTheme="minorHAnsi" w:hAnsiTheme="minorHAnsi" w:cstheme="minorHAnsi"/>
          <w:lang w:val="sq-AL"/>
        </w:rPr>
        <w:t xml:space="preserve"> zakonisht përfshijnë, si shtojcë, një listë të </w:t>
      </w:r>
      <w:proofErr w:type="spellStart"/>
      <w:r w:rsidRPr="0059516E">
        <w:rPr>
          <w:rFonts w:asciiTheme="minorHAnsi" w:hAnsiTheme="minorHAnsi" w:cstheme="minorHAnsi"/>
          <w:lang w:val="sq-AL"/>
        </w:rPr>
        <w:t>të</w:t>
      </w:r>
      <w:proofErr w:type="spellEnd"/>
      <w:r w:rsidRPr="0059516E">
        <w:rPr>
          <w:rFonts w:asciiTheme="minorHAnsi" w:hAnsiTheme="minorHAnsi" w:cstheme="minorHAnsi"/>
          <w:lang w:val="sq-AL"/>
        </w:rPr>
        <w:t xml:space="preserve"> gjitha ligjeve dhe rregulloreve që përbëjnë barriera për investitorët e huaj që nuk janë në përputhje me zotimet e përgjithshme të MNI-së, të cilat quhen </w:t>
      </w:r>
      <w:r>
        <w:rPr>
          <w:rFonts w:asciiTheme="minorHAnsi" w:hAnsiTheme="minorHAnsi" w:cstheme="minorHAnsi"/>
          <w:lang w:val="sq-AL"/>
        </w:rPr>
        <w:t>Masa</w:t>
      </w:r>
      <w:r w:rsidRPr="00B6519A">
        <w:rPr>
          <w:rFonts w:asciiTheme="minorHAnsi" w:hAnsiTheme="minorHAnsi" w:cstheme="minorHAnsi"/>
          <w:lang w:val="sq-AL"/>
        </w:rPr>
        <w:t xml:space="preserve"> Mos-</w:t>
      </w:r>
      <w:proofErr w:type="spellStart"/>
      <w:r w:rsidRPr="00B6519A">
        <w:rPr>
          <w:rFonts w:asciiTheme="minorHAnsi" w:hAnsiTheme="minorHAnsi" w:cstheme="minorHAnsi"/>
          <w:lang w:val="sq-AL"/>
        </w:rPr>
        <w:t>Përputhëse</w:t>
      </w:r>
      <w:proofErr w:type="spellEnd"/>
      <w:r w:rsidRPr="0059516E">
        <w:rPr>
          <w:rFonts w:asciiTheme="minorHAnsi" w:hAnsiTheme="minorHAnsi" w:cstheme="minorHAnsi"/>
          <w:lang w:val="sq-AL"/>
        </w:rPr>
        <w:t xml:space="preserve">. </w:t>
      </w:r>
      <w:r w:rsidRPr="00A25D1E">
        <w:rPr>
          <w:rFonts w:asciiTheme="minorHAnsi" w:hAnsiTheme="minorHAnsi" w:cstheme="minorHAnsi"/>
          <w:lang w:val="sq-AL"/>
        </w:rPr>
        <w:t xml:space="preserve">Ekonomitë si ato të SHBA, Kanadasë apo Japonisë përdorin një </w:t>
      </w:r>
      <w:r>
        <w:rPr>
          <w:rFonts w:asciiTheme="minorHAnsi" w:hAnsiTheme="minorHAnsi" w:cstheme="minorHAnsi"/>
          <w:lang w:val="sq-AL"/>
        </w:rPr>
        <w:t xml:space="preserve">qasje të listës </w:t>
      </w:r>
      <w:r w:rsidRPr="00A25D1E">
        <w:rPr>
          <w:rFonts w:asciiTheme="minorHAnsi" w:hAnsiTheme="minorHAnsi" w:cstheme="minorHAnsi"/>
          <w:lang w:val="sq-AL"/>
        </w:rPr>
        <w:t xml:space="preserve">negative në MNI-të e tyre, gjë që kërkon krijimin e një </w:t>
      </w:r>
      <w:r>
        <w:rPr>
          <w:rFonts w:asciiTheme="minorHAnsi" w:hAnsiTheme="minorHAnsi" w:cstheme="minorHAnsi"/>
          <w:lang w:val="sq-AL"/>
        </w:rPr>
        <w:t>skeme</w:t>
      </w:r>
      <w:r w:rsidRPr="00A25D1E">
        <w:rPr>
          <w:rFonts w:asciiTheme="minorHAnsi" w:hAnsiTheme="minorHAnsi" w:cstheme="minorHAnsi"/>
          <w:lang w:val="sq-AL"/>
        </w:rPr>
        <w:t xml:space="preserve"> të M</w:t>
      </w:r>
      <w:r>
        <w:rPr>
          <w:rFonts w:asciiTheme="minorHAnsi" w:hAnsiTheme="minorHAnsi" w:cstheme="minorHAnsi"/>
          <w:lang w:val="sq-AL"/>
        </w:rPr>
        <w:t>MP</w:t>
      </w:r>
      <w:r w:rsidRPr="00A25D1E">
        <w:rPr>
          <w:rFonts w:asciiTheme="minorHAnsi" w:hAnsiTheme="minorHAnsi" w:cstheme="minorHAnsi"/>
          <w:lang w:val="sq-AL"/>
        </w:rPr>
        <w:t>-ve</w:t>
      </w:r>
      <w:r w:rsidRPr="0059516E">
        <w:rPr>
          <w:rFonts w:asciiTheme="minorHAnsi" w:hAnsiTheme="minorHAnsi" w:cstheme="minorHAnsi"/>
          <w:lang w:val="sq-AL"/>
        </w:rPr>
        <w:t>.</w:t>
      </w:r>
    </w:p>
  </w:footnote>
  <w:footnote w:id="14">
    <w:p w14:paraId="07F6A780" w14:textId="0CAED6FF" w:rsidR="00867998" w:rsidRPr="0059516E" w:rsidRDefault="00867998" w:rsidP="00C422E9">
      <w:pPr>
        <w:pStyle w:val="FootnoteText"/>
        <w:ind w:firstLine="0"/>
        <w:rPr>
          <w:rFonts w:asciiTheme="minorHAnsi" w:hAnsiTheme="minorHAnsi" w:cstheme="minorHAnsi"/>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w:t>
      </w:r>
      <w:r w:rsidRPr="00F63A5E">
        <w:rPr>
          <w:rFonts w:asciiTheme="minorHAnsi" w:hAnsiTheme="minorHAnsi" w:cstheme="minorHAnsi"/>
          <w:lang w:val="sq-AL"/>
        </w:rPr>
        <w:t>Traktati mbi Funksionimin e Bashkimit Evropian, Kreu IV, Kapitulli 2</w:t>
      </w:r>
      <w:r w:rsidRPr="0059516E">
        <w:rPr>
          <w:rFonts w:asciiTheme="minorHAnsi" w:hAnsiTheme="minorHAnsi" w:cstheme="minorHAnsi"/>
          <w:lang w:val="sq-AL"/>
        </w:rPr>
        <w:t xml:space="preserve">. </w:t>
      </w:r>
    </w:p>
  </w:footnote>
  <w:footnote w:id="15">
    <w:p w14:paraId="1C849140" w14:textId="25161AD1" w:rsidR="00867998" w:rsidRPr="0059516E" w:rsidRDefault="00867998" w:rsidP="00C422E9">
      <w:pPr>
        <w:pStyle w:val="FootnoteText"/>
        <w:ind w:firstLine="0"/>
        <w:rPr>
          <w:rFonts w:asciiTheme="minorHAnsi" w:hAnsiTheme="minorHAnsi" w:cstheme="minorHAnsi"/>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w:t>
      </w:r>
      <w:r w:rsidRPr="00F63A5E">
        <w:rPr>
          <w:rFonts w:asciiTheme="minorHAnsi" w:hAnsiTheme="minorHAnsi" w:cstheme="minorHAnsi"/>
          <w:lang w:val="sq-AL"/>
        </w:rPr>
        <w:t>Direktiva 2006/123/KE mbi shërbimet në tregun e brendshëm</w:t>
      </w:r>
      <w:r w:rsidRPr="0059516E">
        <w:rPr>
          <w:rFonts w:asciiTheme="minorHAnsi" w:hAnsiTheme="minorHAnsi" w:cstheme="minorHAnsi"/>
          <w:lang w:val="sq-AL"/>
        </w:rPr>
        <w:t xml:space="preserve">; </w:t>
      </w:r>
      <w:proofErr w:type="spellStart"/>
      <w:r>
        <w:rPr>
          <w:rFonts w:asciiTheme="minorHAnsi" w:hAnsiTheme="minorHAnsi" w:cstheme="minorHAnsi"/>
          <w:lang w:val="sq-AL"/>
        </w:rPr>
        <w:t>Vegza</w:t>
      </w:r>
      <w:proofErr w:type="spellEnd"/>
      <w:r w:rsidRPr="0059516E">
        <w:rPr>
          <w:rFonts w:asciiTheme="minorHAnsi" w:hAnsiTheme="minorHAnsi" w:cstheme="minorHAnsi"/>
          <w:lang w:val="sq-AL"/>
        </w:rPr>
        <w:t xml:space="preserve">: </w:t>
      </w:r>
      <w:hyperlink r:id="rId2" w:history="1">
        <w:r w:rsidRPr="006E513A">
          <w:rPr>
            <w:rStyle w:val="Hyperlink"/>
            <w:rFonts w:asciiTheme="minorHAnsi" w:hAnsiTheme="minorHAnsi" w:cstheme="minorHAnsi"/>
            <w:lang w:val="sq-AL"/>
          </w:rPr>
          <w:t>https://eur-lex.europa.eu/legal-content/EN/TXT/?uri=CELEX:32006L0123</w:t>
        </w:r>
      </w:hyperlink>
      <w:r>
        <w:rPr>
          <w:rFonts w:asciiTheme="minorHAnsi" w:hAnsiTheme="minorHAnsi" w:cstheme="minorHAnsi"/>
          <w:lang w:val="sq-AL"/>
        </w:rPr>
        <w:t xml:space="preserve"> </w:t>
      </w:r>
    </w:p>
  </w:footnote>
  <w:footnote w:id="16">
    <w:p w14:paraId="24C4FD1F" w14:textId="4EDCDBA2" w:rsidR="00867998" w:rsidRPr="0059516E" w:rsidRDefault="00867998" w:rsidP="00C422E9">
      <w:pPr>
        <w:pStyle w:val="FootnoteText"/>
        <w:ind w:firstLine="0"/>
        <w:rPr>
          <w:rFonts w:asciiTheme="minorHAnsi" w:eastAsiaTheme="minorEastAsia" w:hAnsiTheme="minorHAnsi" w:cstheme="minorHAnsi"/>
          <w:sz w:val="22"/>
          <w:szCs w:val="22"/>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w:t>
      </w:r>
      <w:r w:rsidRPr="00943E76">
        <w:rPr>
          <w:rFonts w:asciiTheme="minorHAnsi" w:hAnsiTheme="minorHAnsi" w:cstheme="minorHAnsi"/>
          <w:lang w:val="sq-AL"/>
        </w:rPr>
        <w:t xml:space="preserve">Kapitulli 3 i </w:t>
      </w:r>
      <w:proofErr w:type="spellStart"/>
      <w:r w:rsidRPr="00943E76">
        <w:rPr>
          <w:rFonts w:asciiTheme="minorHAnsi" w:hAnsiTheme="minorHAnsi" w:cstheme="minorHAnsi"/>
          <w:lang w:val="sq-AL"/>
        </w:rPr>
        <w:t>Acquis</w:t>
      </w:r>
      <w:proofErr w:type="spellEnd"/>
      <w:r w:rsidRPr="00943E76">
        <w:rPr>
          <w:rFonts w:asciiTheme="minorHAnsi" w:hAnsiTheme="minorHAnsi" w:cstheme="minorHAnsi"/>
          <w:lang w:val="sq-AL"/>
        </w:rPr>
        <w:t xml:space="preserve"> </w:t>
      </w:r>
      <w:proofErr w:type="spellStart"/>
      <w:r w:rsidRPr="00943E76">
        <w:rPr>
          <w:rFonts w:asciiTheme="minorHAnsi" w:hAnsiTheme="minorHAnsi" w:cstheme="minorHAnsi"/>
          <w:lang w:val="sq-AL"/>
        </w:rPr>
        <w:t>communautaire</w:t>
      </w:r>
      <w:proofErr w:type="spellEnd"/>
      <w:r w:rsidRPr="00943E76">
        <w:rPr>
          <w:rFonts w:asciiTheme="minorHAnsi" w:hAnsiTheme="minorHAnsi" w:cstheme="minorHAnsi"/>
          <w:lang w:val="sq-AL"/>
        </w:rPr>
        <w:t xml:space="preserve"> titullohet "E drejta e themelimit dhe liria për të ofruar shërbime", shih </w:t>
      </w:r>
      <w:hyperlink r:id="rId3" w:history="1">
        <w:r w:rsidRPr="0059516E">
          <w:rPr>
            <w:rStyle w:val="Hyperlink"/>
            <w:rFonts w:asciiTheme="minorHAnsi" w:hAnsiTheme="minorHAnsi" w:cstheme="minorHAnsi"/>
            <w:lang w:val="sq-AL"/>
          </w:rPr>
          <w:t>https://ec.europa.eu/neighbourhood-enlargement/policy/conditions-membership/chapters-of-the-acquis_en</w:t>
        </w:r>
      </w:hyperlink>
      <w:r w:rsidRPr="0059516E">
        <w:rPr>
          <w:rFonts w:asciiTheme="minorHAnsi" w:hAnsiTheme="minorHAnsi" w:cstheme="minorHAnsi"/>
          <w:lang w:val="sq-AL"/>
        </w:rPr>
        <w:t xml:space="preserve"> </w:t>
      </w:r>
    </w:p>
  </w:footnote>
  <w:footnote w:id="17">
    <w:p w14:paraId="342F62EF" w14:textId="3E1DAADC" w:rsidR="00867998" w:rsidRPr="0059516E" w:rsidRDefault="00867998" w:rsidP="00D11CDE">
      <w:pPr>
        <w:pStyle w:val="FootnoteText"/>
        <w:ind w:firstLine="0"/>
        <w:rPr>
          <w:rFonts w:asciiTheme="minorHAnsi" w:hAnsiTheme="minorHAnsi" w:cstheme="minorHAnsi"/>
          <w:lang w:val="sq-AL"/>
        </w:rPr>
      </w:pPr>
      <w:r w:rsidRPr="0059516E">
        <w:rPr>
          <w:rStyle w:val="FootnoteReference"/>
          <w:rFonts w:asciiTheme="minorHAnsi" w:eastAsiaTheme="majorEastAsia" w:hAnsiTheme="minorHAnsi" w:cstheme="minorHAnsi"/>
          <w:lang w:val="sq-AL"/>
        </w:rPr>
        <w:footnoteRef/>
      </w:r>
      <w:r w:rsidRPr="0059516E">
        <w:rPr>
          <w:rFonts w:asciiTheme="minorHAnsi" w:hAnsiTheme="minorHAnsi" w:cstheme="minorHAnsi"/>
          <w:lang w:val="sq-AL"/>
        </w:rPr>
        <w:t xml:space="preserve"> </w:t>
      </w:r>
      <w:r w:rsidRPr="004D2A24">
        <w:rPr>
          <w:rFonts w:asciiTheme="minorHAnsi" w:hAnsiTheme="minorHAnsi" w:cstheme="minorHAnsi"/>
          <w:lang w:val="sq-AL"/>
        </w:rPr>
        <w:t xml:space="preserve">Shih Klasifikimin </w:t>
      </w:r>
      <w:r>
        <w:rPr>
          <w:rFonts w:asciiTheme="minorHAnsi" w:hAnsiTheme="minorHAnsi" w:cstheme="minorHAnsi"/>
          <w:lang w:val="sq-AL"/>
        </w:rPr>
        <w:t xml:space="preserve">Standard </w:t>
      </w:r>
      <w:r w:rsidRPr="004D2A24">
        <w:rPr>
          <w:rFonts w:asciiTheme="minorHAnsi" w:hAnsiTheme="minorHAnsi" w:cstheme="minorHAnsi"/>
          <w:lang w:val="sq-AL"/>
        </w:rPr>
        <w:t xml:space="preserve">Ndërkombëtar Industrial të </w:t>
      </w:r>
      <w:proofErr w:type="spellStart"/>
      <w:r w:rsidRPr="004D2A24">
        <w:rPr>
          <w:rFonts w:asciiTheme="minorHAnsi" w:hAnsiTheme="minorHAnsi" w:cstheme="minorHAnsi"/>
          <w:lang w:val="sq-AL"/>
        </w:rPr>
        <w:t>të</w:t>
      </w:r>
      <w:proofErr w:type="spellEnd"/>
      <w:r w:rsidRPr="004D2A24">
        <w:rPr>
          <w:rFonts w:asciiTheme="minorHAnsi" w:hAnsiTheme="minorHAnsi" w:cstheme="minorHAnsi"/>
          <w:lang w:val="sq-AL"/>
        </w:rPr>
        <w:t xml:space="preserve"> gjitha aktiviteteve ekonomike (ISIC) Rish</w:t>
      </w:r>
      <w:r>
        <w:rPr>
          <w:rFonts w:asciiTheme="minorHAnsi" w:hAnsiTheme="minorHAnsi" w:cstheme="minorHAnsi"/>
          <w:lang w:val="sq-AL"/>
        </w:rPr>
        <w:t>ikim</w:t>
      </w:r>
      <w:r w:rsidRPr="004D2A24">
        <w:rPr>
          <w:rFonts w:asciiTheme="minorHAnsi" w:hAnsiTheme="minorHAnsi" w:cstheme="minorHAnsi"/>
          <w:lang w:val="sq-AL"/>
        </w:rPr>
        <w:t>i 4, Kombet e Bashkuara, N</w:t>
      </w:r>
      <w:r>
        <w:rPr>
          <w:rFonts w:asciiTheme="minorHAnsi" w:hAnsiTheme="minorHAnsi" w:cstheme="minorHAnsi"/>
          <w:lang w:val="sq-AL"/>
        </w:rPr>
        <w:t>ju Jork</w:t>
      </w:r>
      <w:r w:rsidRPr="004D2A24">
        <w:rPr>
          <w:rFonts w:asciiTheme="minorHAnsi" w:hAnsiTheme="minorHAnsi" w:cstheme="minorHAnsi"/>
          <w:lang w:val="sq-AL"/>
        </w:rPr>
        <w:t>, 2008</w:t>
      </w:r>
      <w:r>
        <w:rPr>
          <w:rFonts w:asciiTheme="minorHAnsi" w:hAnsiTheme="minorHAnsi" w:cstheme="minorHAnsi"/>
          <w:lang w:val="sq-AL"/>
        </w:rPr>
        <w:t xml:space="preserve">, </w:t>
      </w:r>
      <w:proofErr w:type="spellStart"/>
      <w:r>
        <w:rPr>
          <w:rFonts w:asciiTheme="minorHAnsi" w:hAnsiTheme="minorHAnsi" w:cstheme="minorHAnsi"/>
          <w:lang w:val="sq-AL"/>
        </w:rPr>
        <w:t>Vegza</w:t>
      </w:r>
      <w:proofErr w:type="spellEnd"/>
      <w:r w:rsidRPr="0059516E">
        <w:rPr>
          <w:rFonts w:asciiTheme="minorHAnsi" w:hAnsiTheme="minorHAnsi" w:cstheme="minorHAnsi"/>
          <w:lang w:val="sq-AL"/>
        </w:rPr>
        <w:t xml:space="preserve">: </w:t>
      </w:r>
      <w:hyperlink r:id="rId4" w:history="1">
        <w:r w:rsidRPr="0059516E">
          <w:rPr>
            <w:rStyle w:val="Hyperlink"/>
            <w:rFonts w:asciiTheme="minorHAnsi" w:hAnsiTheme="minorHAnsi" w:cstheme="minorHAnsi"/>
            <w:lang w:val="sq-AL"/>
          </w:rPr>
          <w:t>https://unstats.un.org/unsd/publication/seriesM/seriesm_4rev4e.pdf</w:t>
        </w:r>
      </w:hyperlink>
      <w:r w:rsidRPr="0059516E">
        <w:rPr>
          <w:rFonts w:asciiTheme="minorHAnsi" w:hAnsiTheme="minorHAnsi" w:cstheme="minorHAnsi"/>
          <w:lang w:val="sq-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4DF8" w14:textId="1987AF72" w:rsidR="00867998" w:rsidRPr="00430D10" w:rsidRDefault="00867998" w:rsidP="72A5C518">
    <w:pPr>
      <w:pStyle w:val="Header"/>
      <w:pBdr>
        <w:bottom w:val="single" w:sz="4" w:space="1" w:color="D9D9D9" w:themeColor="background1" w:themeShade="D9"/>
      </w:pBdr>
      <w:rPr>
        <w:b/>
        <w:bCs/>
      </w:rPr>
    </w:pPr>
    <w:proofErr w:type="spellStart"/>
    <w:r>
      <w:rPr>
        <w:rFonts w:ascii="Calibri" w:eastAsia="MS Mincho" w:hAnsi="Calibri" w:cs="Calibri"/>
      </w:rPr>
      <w:t>Ë</w:t>
    </w:r>
    <w:r w:rsidRPr="00A437EB">
      <w:rPr>
        <w:rFonts w:ascii="Calibri" w:eastAsia="MS Mincho" w:hAnsi="Calibri" w:cs="Calibri"/>
      </w:rPr>
      <w:t>estern</w:t>
    </w:r>
    <w:proofErr w:type="spellEnd"/>
    <w:r w:rsidRPr="00A437EB">
      <w:rPr>
        <w:rFonts w:ascii="Calibri" w:eastAsia="MS Mincho" w:hAnsi="Calibri" w:cs="Calibri"/>
      </w:rPr>
      <w:t xml:space="preserve"> Balkans Regional Investment Policy and Promotion Project</w:t>
    </w:r>
    <w:r>
      <w:t xml:space="preserve"> </w:t>
    </w:r>
    <w:r>
      <w:tab/>
    </w:r>
    <w:sdt>
      <w:sdtPr>
        <w:id w:val="996159648"/>
        <w:docPartObj>
          <w:docPartGallery w:val="Page Numbers (Top of Page)"/>
          <w:docPartUnique/>
        </w:docPartObj>
      </w:sdtPr>
      <w:sdtEndPr>
        <w:rPr>
          <w:color w:val="7F7F7F" w:themeColor="background1" w:themeShade="7F"/>
          <w:spacing w:val="60"/>
        </w:rPr>
      </w:sdtEndPr>
      <w:sdtContent>
        <w:r w:rsidRPr="00A437EB">
          <w:fldChar w:fldCharType="begin"/>
        </w:r>
        <w:r w:rsidRPr="00A437EB">
          <w:instrText xml:space="preserve"> PAGE   \* MERGEFORMAT </w:instrText>
        </w:r>
        <w:r w:rsidRPr="00A437EB">
          <w:fldChar w:fldCharType="separate"/>
        </w:r>
        <w:r w:rsidRPr="00E26226">
          <w:rPr>
            <w:b/>
            <w:bCs/>
            <w:noProof/>
          </w:rPr>
          <w:t>15</w:t>
        </w:r>
        <w:r w:rsidRPr="00A437EB">
          <w:rPr>
            <w:b/>
            <w:bCs/>
            <w:noProof/>
          </w:rPr>
          <w:fldChar w:fldCharType="end"/>
        </w:r>
        <w:r w:rsidRPr="00A437EB">
          <w:rPr>
            <w:b/>
            <w:bCs/>
          </w:rPr>
          <w:t xml:space="preserve"> | </w:t>
        </w:r>
        <w:r w:rsidRPr="00A437EB">
          <w:rPr>
            <w:color w:val="7F7F7F" w:themeColor="background1" w:themeShade="7F"/>
            <w:spacing w:val="60"/>
          </w:rPr>
          <w:t>Page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B570" w14:textId="76FAB250" w:rsidR="00867998" w:rsidRPr="005625AD" w:rsidRDefault="00867998" w:rsidP="72A5C518">
    <w:pPr>
      <w:pStyle w:val="Header"/>
      <w:pBdr>
        <w:bottom w:val="single" w:sz="4" w:space="1" w:color="D9D9D9" w:themeColor="background1" w:themeShade="D9"/>
      </w:pBdr>
      <w:ind w:firstLine="0"/>
      <w:rPr>
        <w:rFonts w:asciiTheme="minorHAnsi" w:hAnsiTheme="minorHAnsi" w:cstheme="minorBidi"/>
        <w:b/>
        <w:bCs/>
      </w:rPr>
    </w:pPr>
    <w:r w:rsidRPr="0073434C">
      <w:rPr>
        <w:rFonts w:ascii="Calibri" w:eastAsia="MS Mincho" w:hAnsi="Calibri" w:cs="Calibri"/>
        <w:lang w:val="sq-AL"/>
      </w:rPr>
      <w:t>Projekti për Politikën dhe Promovimin e Investimeve në Rajonin e Ballkanit Perëndimor</w:t>
    </w:r>
    <w:r w:rsidRPr="0073434C">
      <w:rPr>
        <w:rFonts w:ascii="Calibri" w:eastAsia="MS Mincho" w:hAnsi="Calibri" w:cs="Calibri"/>
      </w:rPr>
      <w:t xml:space="preserve"> </w:t>
    </w:r>
    <w:r>
      <w:t xml:space="preserve"> </w:t>
    </w:r>
    <w:r>
      <w:tab/>
    </w:r>
    <w:sdt>
      <w:sdtPr>
        <w:id w:val="1529219171"/>
        <w:docPartObj>
          <w:docPartGallery w:val="Page Numbers (Top of Page)"/>
          <w:docPartUnique/>
        </w:docPartObj>
      </w:sdtPr>
      <w:sdtEndPr>
        <w:rPr>
          <w:rFonts w:asciiTheme="minorHAnsi" w:hAnsiTheme="minorHAnsi" w:cstheme="minorHAnsi"/>
          <w:color w:val="7F7F7F" w:themeColor="background1" w:themeShade="7F"/>
          <w:spacing w:val="60"/>
        </w:rPr>
      </w:sdtEndPr>
      <w:sdtContent>
        <w:r w:rsidRPr="005625AD">
          <w:rPr>
            <w:rFonts w:asciiTheme="minorHAnsi" w:hAnsiTheme="minorHAnsi" w:cstheme="minorHAnsi"/>
          </w:rPr>
          <w:fldChar w:fldCharType="begin"/>
        </w:r>
        <w:r w:rsidRPr="005625AD">
          <w:rPr>
            <w:rFonts w:asciiTheme="minorHAnsi" w:hAnsiTheme="minorHAnsi" w:cstheme="minorHAnsi"/>
          </w:rPr>
          <w:instrText xml:space="preserve"> PAGE   \* MERGEFORMAT </w:instrText>
        </w:r>
        <w:r w:rsidRPr="005625AD">
          <w:rPr>
            <w:rFonts w:asciiTheme="minorHAnsi" w:hAnsiTheme="minorHAnsi" w:cstheme="minorHAnsi"/>
          </w:rPr>
          <w:fldChar w:fldCharType="separate"/>
        </w:r>
        <w:r w:rsidR="00D93063" w:rsidRPr="00D93063">
          <w:rPr>
            <w:rFonts w:asciiTheme="minorHAnsi" w:hAnsiTheme="minorHAnsi" w:cstheme="minorHAnsi"/>
            <w:b/>
            <w:bCs/>
            <w:noProof/>
          </w:rPr>
          <w:t>2</w:t>
        </w:r>
        <w:r w:rsidRPr="005625AD">
          <w:rPr>
            <w:rFonts w:asciiTheme="minorHAnsi" w:hAnsiTheme="minorHAnsi" w:cstheme="minorHAnsi"/>
            <w:b/>
            <w:bCs/>
            <w:noProof/>
          </w:rPr>
          <w:fldChar w:fldCharType="end"/>
        </w:r>
        <w:r w:rsidRPr="005625AD">
          <w:rPr>
            <w:rFonts w:asciiTheme="minorHAnsi" w:hAnsiTheme="minorHAnsi" w:cstheme="minorHAnsi"/>
            <w:b/>
            <w:bCs/>
          </w:rPr>
          <w:t xml:space="preserve"> | </w:t>
        </w:r>
        <w:r w:rsidRPr="005625AD">
          <w:rPr>
            <w:rFonts w:asciiTheme="minorHAnsi" w:hAnsiTheme="minorHAnsi" w:cstheme="minorHAnsi"/>
            <w:color w:val="7F7F7F" w:themeColor="background1" w:themeShade="7F"/>
            <w:spacing w:val="60"/>
          </w:rPr>
          <w:t>Page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D6A7" w14:textId="02798D48" w:rsidR="00867998" w:rsidRPr="006365A3" w:rsidRDefault="00867998" w:rsidP="72A5C518">
    <w:pPr>
      <w:pStyle w:val="Header"/>
      <w:pBdr>
        <w:bottom w:val="single" w:sz="4" w:space="1" w:color="D9D9D9" w:themeColor="background1" w:themeShade="D9"/>
      </w:pBdr>
      <w:tabs>
        <w:tab w:val="clear" w:pos="9360"/>
        <w:tab w:val="right" w:pos="14670"/>
      </w:tabs>
      <w:ind w:firstLine="0"/>
      <w:rPr>
        <w:b/>
        <w:bCs/>
        <w:lang w:val="sq-AL"/>
      </w:rPr>
    </w:pPr>
    <w:r>
      <w:rPr>
        <w:rFonts w:ascii="Calibri" w:eastAsia="MS Mincho" w:hAnsi="Calibri" w:cs="Calibri"/>
        <w:lang w:val="sq-AL"/>
      </w:rPr>
      <w:t>Projekti për</w:t>
    </w:r>
    <w:r w:rsidRPr="006365A3">
      <w:rPr>
        <w:rFonts w:ascii="Calibri" w:eastAsia="MS Mincho" w:hAnsi="Calibri" w:cs="Calibri"/>
        <w:lang w:val="sq-AL"/>
      </w:rPr>
      <w:t xml:space="preserve"> Politikë</w:t>
    </w:r>
    <w:r>
      <w:rPr>
        <w:rFonts w:ascii="Calibri" w:eastAsia="MS Mincho" w:hAnsi="Calibri" w:cs="Calibri"/>
        <w:lang w:val="sq-AL"/>
      </w:rPr>
      <w:t>n</w:t>
    </w:r>
    <w:r w:rsidRPr="006365A3">
      <w:rPr>
        <w:rFonts w:ascii="Calibri" w:eastAsia="MS Mincho" w:hAnsi="Calibri" w:cs="Calibri"/>
        <w:lang w:val="sq-AL"/>
      </w:rPr>
      <w:t xml:space="preserve"> dhe Promovimi</w:t>
    </w:r>
    <w:r>
      <w:rPr>
        <w:rFonts w:ascii="Calibri" w:eastAsia="MS Mincho" w:hAnsi="Calibri" w:cs="Calibri"/>
        <w:lang w:val="sq-AL"/>
      </w:rPr>
      <w:t>n e</w:t>
    </w:r>
    <w:r w:rsidRPr="006365A3">
      <w:rPr>
        <w:rFonts w:ascii="Calibri" w:eastAsia="MS Mincho" w:hAnsi="Calibri" w:cs="Calibri"/>
        <w:lang w:val="sq-AL"/>
      </w:rPr>
      <w:t xml:space="preserve"> Investimeve në Rajonin e Ballkanit Perëndimor</w:t>
    </w:r>
    <w:r w:rsidRPr="006365A3">
      <w:rPr>
        <w:lang w:val="sq-AL"/>
      </w:rPr>
      <w:tab/>
    </w:r>
    <w:sdt>
      <w:sdtPr>
        <w:rPr>
          <w:lang w:val="sq-AL"/>
        </w:rPr>
        <w:id w:val="-1525852942"/>
        <w:docPartObj>
          <w:docPartGallery w:val="Page Numbers (Top of Page)"/>
          <w:docPartUnique/>
        </w:docPartObj>
      </w:sdtPr>
      <w:sdtEndPr>
        <w:rPr>
          <w:rFonts w:asciiTheme="minorHAnsi" w:hAnsiTheme="minorHAnsi" w:cstheme="minorHAnsi"/>
          <w:color w:val="7F7F7F" w:themeColor="background1" w:themeShade="7F"/>
          <w:spacing w:val="60"/>
        </w:rPr>
      </w:sdtEndPr>
      <w:sdtContent>
        <w:r w:rsidRPr="006365A3">
          <w:rPr>
            <w:rFonts w:asciiTheme="minorHAnsi" w:hAnsiTheme="minorHAnsi" w:cstheme="minorHAnsi"/>
            <w:lang w:val="sq-AL"/>
          </w:rPr>
          <w:fldChar w:fldCharType="begin"/>
        </w:r>
        <w:r w:rsidRPr="006365A3">
          <w:rPr>
            <w:rFonts w:asciiTheme="minorHAnsi" w:hAnsiTheme="minorHAnsi" w:cstheme="minorHAnsi"/>
            <w:lang w:val="sq-AL"/>
          </w:rPr>
          <w:instrText xml:space="preserve"> PAGE   \* MERGEFORMAT </w:instrText>
        </w:r>
        <w:r w:rsidRPr="006365A3">
          <w:rPr>
            <w:rFonts w:asciiTheme="minorHAnsi" w:hAnsiTheme="minorHAnsi" w:cstheme="minorHAnsi"/>
            <w:lang w:val="sq-AL"/>
          </w:rPr>
          <w:fldChar w:fldCharType="separate"/>
        </w:r>
        <w:r w:rsidR="00065E39" w:rsidRPr="00065E39">
          <w:rPr>
            <w:rFonts w:asciiTheme="minorHAnsi" w:hAnsiTheme="minorHAnsi" w:cstheme="minorHAnsi"/>
            <w:b/>
            <w:bCs/>
            <w:noProof/>
            <w:lang w:val="sq-AL"/>
          </w:rPr>
          <w:t>27</w:t>
        </w:r>
        <w:r w:rsidRPr="006365A3">
          <w:rPr>
            <w:rFonts w:asciiTheme="minorHAnsi" w:hAnsiTheme="minorHAnsi" w:cstheme="minorHAnsi"/>
            <w:b/>
            <w:bCs/>
            <w:noProof/>
            <w:lang w:val="sq-AL"/>
          </w:rPr>
          <w:fldChar w:fldCharType="end"/>
        </w:r>
        <w:r w:rsidRPr="006365A3">
          <w:rPr>
            <w:rFonts w:asciiTheme="minorHAnsi" w:hAnsiTheme="minorHAnsi" w:cstheme="minorHAnsi"/>
            <w:b/>
            <w:bCs/>
            <w:lang w:val="sq-AL"/>
          </w:rPr>
          <w:t xml:space="preserve"> | </w:t>
        </w:r>
        <w:r>
          <w:rPr>
            <w:rFonts w:asciiTheme="minorHAnsi" w:hAnsiTheme="minorHAnsi" w:cstheme="minorHAnsi"/>
            <w:color w:val="7F7F7F" w:themeColor="background1" w:themeShade="7F"/>
            <w:spacing w:val="60"/>
            <w:lang w:val="sq-AL"/>
          </w:rPr>
          <w:t>FAQE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883"/>
    <w:multiLevelType w:val="hybridMultilevel"/>
    <w:tmpl w:val="F412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025DC"/>
    <w:multiLevelType w:val="hybridMultilevel"/>
    <w:tmpl w:val="E9CC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95511"/>
    <w:multiLevelType w:val="hybridMultilevel"/>
    <w:tmpl w:val="595E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DC1"/>
    <w:multiLevelType w:val="hybridMultilevel"/>
    <w:tmpl w:val="C3E23670"/>
    <w:lvl w:ilvl="0" w:tplc="DB144ABE">
      <w:start w:val="1"/>
      <w:numFmt w:val="bullet"/>
      <w:lvlText w:val=""/>
      <w:lvlJc w:val="left"/>
      <w:pPr>
        <w:ind w:left="360" w:hanging="360"/>
      </w:pPr>
      <w:rPr>
        <w:rFonts w:ascii="Symbol" w:hAnsi="Symbol" w:hint="default"/>
      </w:rPr>
    </w:lvl>
    <w:lvl w:ilvl="1" w:tplc="EF6ED196">
      <w:start w:val="1"/>
      <w:numFmt w:val="bullet"/>
      <w:lvlText w:val="o"/>
      <w:lvlJc w:val="left"/>
      <w:pPr>
        <w:ind w:left="1080" w:hanging="360"/>
      </w:pPr>
      <w:rPr>
        <w:rFonts w:ascii="Courier New" w:hAnsi="Courier New" w:hint="default"/>
      </w:rPr>
    </w:lvl>
    <w:lvl w:ilvl="2" w:tplc="E2C899E8">
      <w:start w:val="1"/>
      <w:numFmt w:val="bullet"/>
      <w:lvlText w:val=""/>
      <w:lvlJc w:val="left"/>
      <w:pPr>
        <w:ind w:left="1800" w:hanging="360"/>
      </w:pPr>
      <w:rPr>
        <w:rFonts w:ascii="Wingdings" w:hAnsi="Wingdings" w:hint="default"/>
      </w:rPr>
    </w:lvl>
    <w:lvl w:ilvl="3" w:tplc="F8B0441A">
      <w:start w:val="1"/>
      <w:numFmt w:val="bullet"/>
      <w:lvlText w:val=""/>
      <w:lvlJc w:val="left"/>
      <w:pPr>
        <w:ind w:left="2520" w:hanging="360"/>
      </w:pPr>
      <w:rPr>
        <w:rFonts w:ascii="Symbol" w:hAnsi="Symbol" w:hint="default"/>
      </w:rPr>
    </w:lvl>
    <w:lvl w:ilvl="4" w:tplc="1FCEA5CC">
      <w:start w:val="1"/>
      <w:numFmt w:val="bullet"/>
      <w:lvlText w:val="o"/>
      <w:lvlJc w:val="left"/>
      <w:pPr>
        <w:ind w:left="3240" w:hanging="360"/>
      </w:pPr>
      <w:rPr>
        <w:rFonts w:ascii="Courier New" w:hAnsi="Courier New" w:hint="default"/>
      </w:rPr>
    </w:lvl>
    <w:lvl w:ilvl="5" w:tplc="EFC8874E">
      <w:start w:val="1"/>
      <w:numFmt w:val="bullet"/>
      <w:lvlText w:val=""/>
      <w:lvlJc w:val="left"/>
      <w:pPr>
        <w:ind w:left="3960" w:hanging="360"/>
      </w:pPr>
      <w:rPr>
        <w:rFonts w:ascii="Wingdings" w:hAnsi="Wingdings" w:hint="default"/>
      </w:rPr>
    </w:lvl>
    <w:lvl w:ilvl="6" w:tplc="53BCB864">
      <w:start w:val="1"/>
      <w:numFmt w:val="bullet"/>
      <w:lvlText w:val=""/>
      <w:lvlJc w:val="left"/>
      <w:pPr>
        <w:ind w:left="4680" w:hanging="360"/>
      </w:pPr>
      <w:rPr>
        <w:rFonts w:ascii="Symbol" w:hAnsi="Symbol" w:hint="default"/>
      </w:rPr>
    </w:lvl>
    <w:lvl w:ilvl="7" w:tplc="83D636AC">
      <w:start w:val="1"/>
      <w:numFmt w:val="bullet"/>
      <w:lvlText w:val="o"/>
      <w:lvlJc w:val="left"/>
      <w:pPr>
        <w:ind w:left="5400" w:hanging="360"/>
      </w:pPr>
      <w:rPr>
        <w:rFonts w:ascii="Courier New" w:hAnsi="Courier New" w:hint="default"/>
      </w:rPr>
    </w:lvl>
    <w:lvl w:ilvl="8" w:tplc="E12605A8">
      <w:start w:val="1"/>
      <w:numFmt w:val="bullet"/>
      <w:lvlText w:val=""/>
      <w:lvlJc w:val="left"/>
      <w:pPr>
        <w:ind w:left="6120" w:hanging="360"/>
      </w:pPr>
      <w:rPr>
        <w:rFonts w:ascii="Wingdings" w:hAnsi="Wingdings" w:hint="default"/>
      </w:rPr>
    </w:lvl>
  </w:abstractNum>
  <w:abstractNum w:abstractNumId="4">
    <w:nsid w:val="51852757"/>
    <w:multiLevelType w:val="hybridMultilevel"/>
    <w:tmpl w:val="2458C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FC5F37"/>
    <w:multiLevelType w:val="hybridMultilevel"/>
    <w:tmpl w:val="F9DC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ED3982"/>
    <w:multiLevelType w:val="hybridMultilevel"/>
    <w:tmpl w:val="2F38E8B8"/>
    <w:lvl w:ilvl="0" w:tplc="11B49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D6CB0"/>
    <w:multiLevelType w:val="hybridMultilevel"/>
    <w:tmpl w:val="BDBC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B59B6"/>
    <w:multiLevelType w:val="hybridMultilevel"/>
    <w:tmpl w:val="DB5AA306"/>
    <w:lvl w:ilvl="0" w:tplc="0409000F">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61445"/>
    <w:multiLevelType w:val="hybridMultilevel"/>
    <w:tmpl w:val="A55AF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1"/>
  </w:num>
  <w:num w:numId="8">
    <w:abstractNumId w:val="9"/>
  </w:num>
  <w:num w:numId="9">
    <w:abstractNumId w:val="5"/>
  </w:num>
  <w:num w:numId="10">
    <w:abstractNumId w:val="7"/>
  </w:num>
  <w:num w:numId="11">
    <w:abstractNumId w:val="4"/>
  </w:num>
  <w:num w:numId="12">
    <w:abstractNumId w:val="1"/>
  </w:num>
  <w:num w:numId="13">
    <w:abstractNumId w:val="9"/>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8A"/>
    <w:rsid w:val="000004EB"/>
    <w:rsid w:val="0000249A"/>
    <w:rsid w:val="00002D5E"/>
    <w:rsid w:val="0000316B"/>
    <w:rsid w:val="00003953"/>
    <w:rsid w:val="00003B8F"/>
    <w:rsid w:val="00003F99"/>
    <w:rsid w:val="00006CA3"/>
    <w:rsid w:val="00007312"/>
    <w:rsid w:val="00012925"/>
    <w:rsid w:val="00013685"/>
    <w:rsid w:val="00013FF0"/>
    <w:rsid w:val="00015559"/>
    <w:rsid w:val="0002051A"/>
    <w:rsid w:val="000207DB"/>
    <w:rsid w:val="00020E47"/>
    <w:rsid w:val="0002144B"/>
    <w:rsid w:val="00022413"/>
    <w:rsid w:val="00023679"/>
    <w:rsid w:val="00023EB7"/>
    <w:rsid w:val="0002782D"/>
    <w:rsid w:val="00027B33"/>
    <w:rsid w:val="0003183D"/>
    <w:rsid w:val="00031CBB"/>
    <w:rsid w:val="0003293F"/>
    <w:rsid w:val="000333F6"/>
    <w:rsid w:val="00033CB2"/>
    <w:rsid w:val="00033D69"/>
    <w:rsid w:val="000350C4"/>
    <w:rsid w:val="000366CE"/>
    <w:rsid w:val="0004150C"/>
    <w:rsid w:val="0004374E"/>
    <w:rsid w:val="0004398E"/>
    <w:rsid w:val="000440EC"/>
    <w:rsid w:val="00045F5A"/>
    <w:rsid w:val="00047371"/>
    <w:rsid w:val="000518DE"/>
    <w:rsid w:val="00053962"/>
    <w:rsid w:val="00053EE0"/>
    <w:rsid w:val="00054307"/>
    <w:rsid w:val="00055D7B"/>
    <w:rsid w:val="00056BB4"/>
    <w:rsid w:val="00056E26"/>
    <w:rsid w:val="0005703A"/>
    <w:rsid w:val="000573E2"/>
    <w:rsid w:val="00057914"/>
    <w:rsid w:val="00057928"/>
    <w:rsid w:val="000606E3"/>
    <w:rsid w:val="00062E8F"/>
    <w:rsid w:val="0006357D"/>
    <w:rsid w:val="0006464E"/>
    <w:rsid w:val="0006572A"/>
    <w:rsid w:val="00065B99"/>
    <w:rsid w:val="00065E39"/>
    <w:rsid w:val="00066C06"/>
    <w:rsid w:val="000674D3"/>
    <w:rsid w:val="0007047C"/>
    <w:rsid w:val="0007286D"/>
    <w:rsid w:val="0007387E"/>
    <w:rsid w:val="00073FCA"/>
    <w:rsid w:val="000749E5"/>
    <w:rsid w:val="000755BC"/>
    <w:rsid w:val="00075EEB"/>
    <w:rsid w:val="00076032"/>
    <w:rsid w:val="00076C2E"/>
    <w:rsid w:val="00080AC6"/>
    <w:rsid w:val="00080CB7"/>
    <w:rsid w:val="00081ACA"/>
    <w:rsid w:val="000853EC"/>
    <w:rsid w:val="00085811"/>
    <w:rsid w:val="00085A97"/>
    <w:rsid w:val="0008605B"/>
    <w:rsid w:val="0008673D"/>
    <w:rsid w:val="00086923"/>
    <w:rsid w:val="00087632"/>
    <w:rsid w:val="00087A8A"/>
    <w:rsid w:val="000901EE"/>
    <w:rsid w:val="00091011"/>
    <w:rsid w:val="00091203"/>
    <w:rsid w:val="000915D4"/>
    <w:rsid w:val="00091B8A"/>
    <w:rsid w:val="00092CB8"/>
    <w:rsid w:val="000932F3"/>
    <w:rsid w:val="00094347"/>
    <w:rsid w:val="00094BF6"/>
    <w:rsid w:val="00094E4E"/>
    <w:rsid w:val="00095E26"/>
    <w:rsid w:val="000962E0"/>
    <w:rsid w:val="00096E31"/>
    <w:rsid w:val="000973D9"/>
    <w:rsid w:val="00097421"/>
    <w:rsid w:val="00097F55"/>
    <w:rsid w:val="000A059A"/>
    <w:rsid w:val="000A0AFE"/>
    <w:rsid w:val="000A13CC"/>
    <w:rsid w:val="000A1495"/>
    <w:rsid w:val="000A41DB"/>
    <w:rsid w:val="000A5146"/>
    <w:rsid w:val="000A6B5C"/>
    <w:rsid w:val="000A7D2F"/>
    <w:rsid w:val="000B0C4D"/>
    <w:rsid w:val="000B13AB"/>
    <w:rsid w:val="000B1D7A"/>
    <w:rsid w:val="000B3B7C"/>
    <w:rsid w:val="000B4979"/>
    <w:rsid w:val="000C2B02"/>
    <w:rsid w:val="000C5582"/>
    <w:rsid w:val="000C653C"/>
    <w:rsid w:val="000C6F91"/>
    <w:rsid w:val="000C7533"/>
    <w:rsid w:val="000C7C8F"/>
    <w:rsid w:val="000D00FF"/>
    <w:rsid w:val="000D02F0"/>
    <w:rsid w:val="000D08C4"/>
    <w:rsid w:val="000D2B5A"/>
    <w:rsid w:val="000D3FA5"/>
    <w:rsid w:val="000D44B4"/>
    <w:rsid w:val="000D562D"/>
    <w:rsid w:val="000D64F8"/>
    <w:rsid w:val="000D77CE"/>
    <w:rsid w:val="000D7BE9"/>
    <w:rsid w:val="000E0EEA"/>
    <w:rsid w:val="000E1366"/>
    <w:rsid w:val="000E1E6F"/>
    <w:rsid w:val="000E3C13"/>
    <w:rsid w:val="000E5813"/>
    <w:rsid w:val="000E6007"/>
    <w:rsid w:val="000E6432"/>
    <w:rsid w:val="000E7265"/>
    <w:rsid w:val="000E7B3A"/>
    <w:rsid w:val="000F3DB5"/>
    <w:rsid w:val="000F42BA"/>
    <w:rsid w:val="000F4617"/>
    <w:rsid w:val="000F594C"/>
    <w:rsid w:val="000F755C"/>
    <w:rsid w:val="000F7D50"/>
    <w:rsid w:val="001011EA"/>
    <w:rsid w:val="001022F6"/>
    <w:rsid w:val="0010269E"/>
    <w:rsid w:val="00103A5E"/>
    <w:rsid w:val="00105567"/>
    <w:rsid w:val="001058F0"/>
    <w:rsid w:val="00105A4D"/>
    <w:rsid w:val="00106412"/>
    <w:rsid w:val="001070CA"/>
    <w:rsid w:val="0011140B"/>
    <w:rsid w:val="00111760"/>
    <w:rsid w:val="00111BBD"/>
    <w:rsid w:val="001126BC"/>
    <w:rsid w:val="00112781"/>
    <w:rsid w:val="00112BC5"/>
    <w:rsid w:val="00114ED2"/>
    <w:rsid w:val="00115766"/>
    <w:rsid w:val="0011754F"/>
    <w:rsid w:val="00117EEB"/>
    <w:rsid w:val="00120F5D"/>
    <w:rsid w:val="0012174A"/>
    <w:rsid w:val="00121BBF"/>
    <w:rsid w:val="0012356E"/>
    <w:rsid w:val="0012390B"/>
    <w:rsid w:val="00124C11"/>
    <w:rsid w:val="00124F80"/>
    <w:rsid w:val="00125543"/>
    <w:rsid w:val="001260E8"/>
    <w:rsid w:val="00126909"/>
    <w:rsid w:val="001273CD"/>
    <w:rsid w:val="00127AAF"/>
    <w:rsid w:val="001301B9"/>
    <w:rsid w:val="001336B0"/>
    <w:rsid w:val="00133B9B"/>
    <w:rsid w:val="00134DDE"/>
    <w:rsid w:val="00135178"/>
    <w:rsid w:val="00136600"/>
    <w:rsid w:val="00136908"/>
    <w:rsid w:val="00140EB5"/>
    <w:rsid w:val="001417B4"/>
    <w:rsid w:val="001438CC"/>
    <w:rsid w:val="00143FA7"/>
    <w:rsid w:val="001445F1"/>
    <w:rsid w:val="00144674"/>
    <w:rsid w:val="00145114"/>
    <w:rsid w:val="0014550F"/>
    <w:rsid w:val="00147734"/>
    <w:rsid w:val="001477FC"/>
    <w:rsid w:val="00150536"/>
    <w:rsid w:val="001509D5"/>
    <w:rsid w:val="0015103A"/>
    <w:rsid w:val="0015151F"/>
    <w:rsid w:val="001529CA"/>
    <w:rsid w:val="001539E8"/>
    <w:rsid w:val="00156575"/>
    <w:rsid w:val="0015663F"/>
    <w:rsid w:val="00157406"/>
    <w:rsid w:val="0015759B"/>
    <w:rsid w:val="00160976"/>
    <w:rsid w:val="00162AC1"/>
    <w:rsid w:val="00164247"/>
    <w:rsid w:val="001650ED"/>
    <w:rsid w:val="00167A84"/>
    <w:rsid w:val="00170276"/>
    <w:rsid w:val="0017217D"/>
    <w:rsid w:val="0017618A"/>
    <w:rsid w:val="001766B0"/>
    <w:rsid w:val="00176E0C"/>
    <w:rsid w:val="00177772"/>
    <w:rsid w:val="00177C84"/>
    <w:rsid w:val="0018089C"/>
    <w:rsid w:val="00183048"/>
    <w:rsid w:val="00184004"/>
    <w:rsid w:val="00184C2C"/>
    <w:rsid w:val="00191111"/>
    <w:rsid w:val="001911BD"/>
    <w:rsid w:val="001945FB"/>
    <w:rsid w:val="00194623"/>
    <w:rsid w:val="001946D1"/>
    <w:rsid w:val="00194EDF"/>
    <w:rsid w:val="00195D2B"/>
    <w:rsid w:val="00197E6C"/>
    <w:rsid w:val="001A0158"/>
    <w:rsid w:val="001A01E2"/>
    <w:rsid w:val="001A1E35"/>
    <w:rsid w:val="001A30C4"/>
    <w:rsid w:val="001A3155"/>
    <w:rsid w:val="001A43FC"/>
    <w:rsid w:val="001A4C63"/>
    <w:rsid w:val="001A4CC6"/>
    <w:rsid w:val="001A4E96"/>
    <w:rsid w:val="001A580D"/>
    <w:rsid w:val="001A67D1"/>
    <w:rsid w:val="001B1346"/>
    <w:rsid w:val="001B1D87"/>
    <w:rsid w:val="001B1FF5"/>
    <w:rsid w:val="001B30C6"/>
    <w:rsid w:val="001B471F"/>
    <w:rsid w:val="001B5F46"/>
    <w:rsid w:val="001B625A"/>
    <w:rsid w:val="001B63A4"/>
    <w:rsid w:val="001B6F00"/>
    <w:rsid w:val="001C14F2"/>
    <w:rsid w:val="001C2EC5"/>
    <w:rsid w:val="001C5BE2"/>
    <w:rsid w:val="001C7D65"/>
    <w:rsid w:val="001D2D4B"/>
    <w:rsid w:val="001D4049"/>
    <w:rsid w:val="001D4529"/>
    <w:rsid w:val="001D7526"/>
    <w:rsid w:val="001E3453"/>
    <w:rsid w:val="001E4900"/>
    <w:rsid w:val="001E4B59"/>
    <w:rsid w:val="001E5130"/>
    <w:rsid w:val="001F0469"/>
    <w:rsid w:val="001F0B50"/>
    <w:rsid w:val="001F27B0"/>
    <w:rsid w:val="001F3244"/>
    <w:rsid w:val="001F39F7"/>
    <w:rsid w:val="001F4181"/>
    <w:rsid w:val="001F4661"/>
    <w:rsid w:val="001F6355"/>
    <w:rsid w:val="001F7BF4"/>
    <w:rsid w:val="001F7E76"/>
    <w:rsid w:val="00200089"/>
    <w:rsid w:val="0020084D"/>
    <w:rsid w:val="002028F4"/>
    <w:rsid w:val="00204744"/>
    <w:rsid w:val="00205372"/>
    <w:rsid w:val="002100EA"/>
    <w:rsid w:val="00210191"/>
    <w:rsid w:val="00212EBC"/>
    <w:rsid w:val="002145E0"/>
    <w:rsid w:val="00214934"/>
    <w:rsid w:val="002157C1"/>
    <w:rsid w:val="00216F09"/>
    <w:rsid w:val="00217ACC"/>
    <w:rsid w:val="00217F2E"/>
    <w:rsid w:val="00221E07"/>
    <w:rsid w:val="0022338A"/>
    <w:rsid w:val="00223F60"/>
    <w:rsid w:val="00224FAF"/>
    <w:rsid w:val="002259B0"/>
    <w:rsid w:val="002265BF"/>
    <w:rsid w:val="002268D3"/>
    <w:rsid w:val="00231872"/>
    <w:rsid w:val="00233163"/>
    <w:rsid w:val="00233178"/>
    <w:rsid w:val="00233C73"/>
    <w:rsid w:val="002343EB"/>
    <w:rsid w:val="00234D7D"/>
    <w:rsid w:val="00235E76"/>
    <w:rsid w:val="00237707"/>
    <w:rsid w:val="00237789"/>
    <w:rsid w:val="00237945"/>
    <w:rsid w:val="00237EFF"/>
    <w:rsid w:val="00240371"/>
    <w:rsid w:val="002426B3"/>
    <w:rsid w:val="0024362B"/>
    <w:rsid w:val="002451FC"/>
    <w:rsid w:val="002464E9"/>
    <w:rsid w:val="00246EC7"/>
    <w:rsid w:val="002471E5"/>
    <w:rsid w:val="0024764B"/>
    <w:rsid w:val="00247F1A"/>
    <w:rsid w:val="00251E32"/>
    <w:rsid w:val="00252C43"/>
    <w:rsid w:val="002530F9"/>
    <w:rsid w:val="00253DBF"/>
    <w:rsid w:val="00257099"/>
    <w:rsid w:val="00257864"/>
    <w:rsid w:val="00261380"/>
    <w:rsid w:val="002619F6"/>
    <w:rsid w:val="002622DF"/>
    <w:rsid w:val="00262F4D"/>
    <w:rsid w:val="00264511"/>
    <w:rsid w:val="00265326"/>
    <w:rsid w:val="00265620"/>
    <w:rsid w:val="0026619D"/>
    <w:rsid w:val="002671AA"/>
    <w:rsid w:val="002678BE"/>
    <w:rsid w:val="00267FB0"/>
    <w:rsid w:val="002702AF"/>
    <w:rsid w:val="002739DA"/>
    <w:rsid w:val="0027480E"/>
    <w:rsid w:val="00275098"/>
    <w:rsid w:val="00275213"/>
    <w:rsid w:val="00275E53"/>
    <w:rsid w:val="00275FAE"/>
    <w:rsid w:val="0027613E"/>
    <w:rsid w:val="00277494"/>
    <w:rsid w:val="00277CEF"/>
    <w:rsid w:val="00277F3C"/>
    <w:rsid w:val="002808EC"/>
    <w:rsid w:val="00281983"/>
    <w:rsid w:val="002828E1"/>
    <w:rsid w:val="0028328D"/>
    <w:rsid w:val="00283600"/>
    <w:rsid w:val="002842BD"/>
    <w:rsid w:val="002849B2"/>
    <w:rsid w:val="00284E6E"/>
    <w:rsid w:val="00285AAE"/>
    <w:rsid w:val="00285D97"/>
    <w:rsid w:val="00286F27"/>
    <w:rsid w:val="002877F4"/>
    <w:rsid w:val="002878FE"/>
    <w:rsid w:val="00287A8E"/>
    <w:rsid w:val="00287A93"/>
    <w:rsid w:val="002904C5"/>
    <w:rsid w:val="00290B13"/>
    <w:rsid w:val="0029129B"/>
    <w:rsid w:val="002921EE"/>
    <w:rsid w:val="00292C69"/>
    <w:rsid w:val="00293E88"/>
    <w:rsid w:val="002949CF"/>
    <w:rsid w:val="00294FF6"/>
    <w:rsid w:val="00295490"/>
    <w:rsid w:val="00296ED5"/>
    <w:rsid w:val="002A1910"/>
    <w:rsid w:val="002A1C3A"/>
    <w:rsid w:val="002A385B"/>
    <w:rsid w:val="002A39C5"/>
    <w:rsid w:val="002A3EF4"/>
    <w:rsid w:val="002A42D1"/>
    <w:rsid w:val="002A45BA"/>
    <w:rsid w:val="002A68B3"/>
    <w:rsid w:val="002A7DE8"/>
    <w:rsid w:val="002B0358"/>
    <w:rsid w:val="002B0653"/>
    <w:rsid w:val="002B163F"/>
    <w:rsid w:val="002B1E78"/>
    <w:rsid w:val="002B20C6"/>
    <w:rsid w:val="002B366F"/>
    <w:rsid w:val="002B383F"/>
    <w:rsid w:val="002B3A88"/>
    <w:rsid w:val="002B3AF7"/>
    <w:rsid w:val="002B4277"/>
    <w:rsid w:val="002B4D4F"/>
    <w:rsid w:val="002B5F72"/>
    <w:rsid w:val="002B6E10"/>
    <w:rsid w:val="002C1244"/>
    <w:rsid w:val="002C1DEB"/>
    <w:rsid w:val="002C237E"/>
    <w:rsid w:val="002C2399"/>
    <w:rsid w:val="002C24D8"/>
    <w:rsid w:val="002C40E5"/>
    <w:rsid w:val="002C5F3E"/>
    <w:rsid w:val="002C6713"/>
    <w:rsid w:val="002D073E"/>
    <w:rsid w:val="002D1A47"/>
    <w:rsid w:val="002D4359"/>
    <w:rsid w:val="002D75AF"/>
    <w:rsid w:val="002E06A0"/>
    <w:rsid w:val="002E3A2E"/>
    <w:rsid w:val="002E5520"/>
    <w:rsid w:val="002E5992"/>
    <w:rsid w:val="002E6E57"/>
    <w:rsid w:val="002E767C"/>
    <w:rsid w:val="002F3373"/>
    <w:rsid w:val="002F4E47"/>
    <w:rsid w:val="002F4F05"/>
    <w:rsid w:val="002F6FF3"/>
    <w:rsid w:val="003002CF"/>
    <w:rsid w:val="003002DE"/>
    <w:rsid w:val="003017D3"/>
    <w:rsid w:val="0030190C"/>
    <w:rsid w:val="003024B7"/>
    <w:rsid w:val="00304380"/>
    <w:rsid w:val="003052F5"/>
    <w:rsid w:val="0030556E"/>
    <w:rsid w:val="00305BC0"/>
    <w:rsid w:val="003123C8"/>
    <w:rsid w:val="00312EC9"/>
    <w:rsid w:val="00314AC0"/>
    <w:rsid w:val="0031540C"/>
    <w:rsid w:val="00315ACD"/>
    <w:rsid w:val="00315EDC"/>
    <w:rsid w:val="00317700"/>
    <w:rsid w:val="003202CC"/>
    <w:rsid w:val="003204CC"/>
    <w:rsid w:val="00320F45"/>
    <w:rsid w:val="00322740"/>
    <w:rsid w:val="00322A04"/>
    <w:rsid w:val="00324182"/>
    <w:rsid w:val="003252D2"/>
    <w:rsid w:val="003254B3"/>
    <w:rsid w:val="00325DF0"/>
    <w:rsid w:val="00330060"/>
    <w:rsid w:val="00331AB8"/>
    <w:rsid w:val="003340E5"/>
    <w:rsid w:val="00335271"/>
    <w:rsid w:val="003352BA"/>
    <w:rsid w:val="003369C3"/>
    <w:rsid w:val="003370DD"/>
    <w:rsid w:val="0033722B"/>
    <w:rsid w:val="0034158F"/>
    <w:rsid w:val="003446A0"/>
    <w:rsid w:val="003446B0"/>
    <w:rsid w:val="00345C90"/>
    <w:rsid w:val="003460AF"/>
    <w:rsid w:val="00346AAA"/>
    <w:rsid w:val="00346DC9"/>
    <w:rsid w:val="0034756F"/>
    <w:rsid w:val="00347F12"/>
    <w:rsid w:val="003512C3"/>
    <w:rsid w:val="00351B16"/>
    <w:rsid w:val="00352E36"/>
    <w:rsid w:val="00354FA8"/>
    <w:rsid w:val="00356232"/>
    <w:rsid w:val="00356BF0"/>
    <w:rsid w:val="00356E40"/>
    <w:rsid w:val="00356F0B"/>
    <w:rsid w:val="003609A1"/>
    <w:rsid w:val="00360BD7"/>
    <w:rsid w:val="0036187D"/>
    <w:rsid w:val="00362428"/>
    <w:rsid w:val="00362688"/>
    <w:rsid w:val="00362BCF"/>
    <w:rsid w:val="00363E7E"/>
    <w:rsid w:val="003647FB"/>
    <w:rsid w:val="00367383"/>
    <w:rsid w:val="00370210"/>
    <w:rsid w:val="00370D12"/>
    <w:rsid w:val="00370FE0"/>
    <w:rsid w:val="00373728"/>
    <w:rsid w:val="00374228"/>
    <w:rsid w:val="0037476A"/>
    <w:rsid w:val="00374E3B"/>
    <w:rsid w:val="00374F5B"/>
    <w:rsid w:val="00377041"/>
    <w:rsid w:val="00377436"/>
    <w:rsid w:val="00380DA2"/>
    <w:rsid w:val="00381933"/>
    <w:rsid w:val="0038455A"/>
    <w:rsid w:val="00384C96"/>
    <w:rsid w:val="00385FD5"/>
    <w:rsid w:val="00386292"/>
    <w:rsid w:val="00387047"/>
    <w:rsid w:val="00390057"/>
    <w:rsid w:val="00390DD1"/>
    <w:rsid w:val="00393F0C"/>
    <w:rsid w:val="0039690C"/>
    <w:rsid w:val="00397641"/>
    <w:rsid w:val="003A0004"/>
    <w:rsid w:val="003A1EAC"/>
    <w:rsid w:val="003A28BE"/>
    <w:rsid w:val="003A4CEC"/>
    <w:rsid w:val="003A75F1"/>
    <w:rsid w:val="003A7853"/>
    <w:rsid w:val="003A7944"/>
    <w:rsid w:val="003A7E8D"/>
    <w:rsid w:val="003B019B"/>
    <w:rsid w:val="003B0D22"/>
    <w:rsid w:val="003B0D2B"/>
    <w:rsid w:val="003B14EF"/>
    <w:rsid w:val="003B29C5"/>
    <w:rsid w:val="003B39FE"/>
    <w:rsid w:val="003B63AB"/>
    <w:rsid w:val="003B64B6"/>
    <w:rsid w:val="003B6560"/>
    <w:rsid w:val="003C132A"/>
    <w:rsid w:val="003C2B4C"/>
    <w:rsid w:val="003C3791"/>
    <w:rsid w:val="003C3BD6"/>
    <w:rsid w:val="003C5DEC"/>
    <w:rsid w:val="003C7450"/>
    <w:rsid w:val="003D149B"/>
    <w:rsid w:val="003D1C69"/>
    <w:rsid w:val="003D30A1"/>
    <w:rsid w:val="003D3A8D"/>
    <w:rsid w:val="003D4331"/>
    <w:rsid w:val="003D4BD5"/>
    <w:rsid w:val="003D51BA"/>
    <w:rsid w:val="003D6D7C"/>
    <w:rsid w:val="003D7882"/>
    <w:rsid w:val="003D7D9E"/>
    <w:rsid w:val="003E1251"/>
    <w:rsid w:val="003E1475"/>
    <w:rsid w:val="003E19D9"/>
    <w:rsid w:val="003E3C98"/>
    <w:rsid w:val="003E3D83"/>
    <w:rsid w:val="003E5309"/>
    <w:rsid w:val="003E5AD1"/>
    <w:rsid w:val="003E5B28"/>
    <w:rsid w:val="003E6112"/>
    <w:rsid w:val="003E6AC2"/>
    <w:rsid w:val="003E6F88"/>
    <w:rsid w:val="003E794D"/>
    <w:rsid w:val="003F1730"/>
    <w:rsid w:val="003F1B51"/>
    <w:rsid w:val="003F2D40"/>
    <w:rsid w:val="003F3685"/>
    <w:rsid w:val="003F4124"/>
    <w:rsid w:val="003F48D3"/>
    <w:rsid w:val="003F754A"/>
    <w:rsid w:val="0040034A"/>
    <w:rsid w:val="004005E2"/>
    <w:rsid w:val="004009FF"/>
    <w:rsid w:val="004013A9"/>
    <w:rsid w:val="004013DC"/>
    <w:rsid w:val="004019A3"/>
    <w:rsid w:val="004040C1"/>
    <w:rsid w:val="00404CDD"/>
    <w:rsid w:val="00411604"/>
    <w:rsid w:val="00411E3D"/>
    <w:rsid w:val="00411F90"/>
    <w:rsid w:val="004126A7"/>
    <w:rsid w:val="00412AAA"/>
    <w:rsid w:val="004135DF"/>
    <w:rsid w:val="004154FB"/>
    <w:rsid w:val="004155CD"/>
    <w:rsid w:val="0041602B"/>
    <w:rsid w:val="00416AD4"/>
    <w:rsid w:val="00416F9D"/>
    <w:rsid w:val="00420EA6"/>
    <w:rsid w:val="00421752"/>
    <w:rsid w:val="00421857"/>
    <w:rsid w:val="00422CBE"/>
    <w:rsid w:val="00422D16"/>
    <w:rsid w:val="00424094"/>
    <w:rsid w:val="00427AC9"/>
    <w:rsid w:val="004302AE"/>
    <w:rsid w:val="00431AA4"/>
    <w:rsid w:val="004330B8"/>
    <w:rsid w:val="00433151"/>
    <w:rsid w:val="004340E8"/>
    <w:rsid w:val="0043469C"/>
    <w:rsid w:val="00435D18"/>
    <w:rsid w:val="00436174"/>
    <w:rsid w:val="004362F4"/>
    <w:rsid w:val="004403DA"/>
    <w:rsid w:val="00442B27"/>
    <w:rsid w:val="00443153"/>
    <w:rsid w:val="0044468F"/>
    <w:rsid w:val="00447BB0"/>
    <w:rsid w:val="004503C2"/>
    <w:rsid w:val="0045094F"/>
    <w:rsid w:val="00451B11"/>
    <w:rsid w:val="00452A49"/>
    <w:rsid w:val="00455A03"/>
    <w:rsid w:val="00457173"/>
    <w:rsid w:val="004576D5"/>
    <w:rsid w:val="004600D5"/>
    <w:rsid w:val="00460CB2"/>
    <w:rsid w:val="0046206E"/>
    <w:rsid w:val="004621F0"/>
    <w:rsid w:val="00462373"/>
    <w:rsid w:val="00462F7E"/>
    <w:rsid w:val="0046419E"/>
    <w:rsid w:val="004645F0"/>
    <w:rsid w:val="0046768B"/>
    <w:rsid w:val="00467A36"/>
    <w:rsid w:val="00470679"/>
    <w:rsid w:val="00470D3A"/>
    <w:rsid w:val="00471FF2"/>
    <w:rsid w:val="00472FDA"/>
    <w:rsid w:val="00473761"/>
    <w:rsid w:val="004750CF"/>
    <w:rsid w:val="004759A9"/>
    <w:rsid w:val="00475B2F"/>
    <w:rsid w:val="004764BA"/>
    <w:rsid w:val="00476767"/>
    <w:rsid w:val="00482041"/>
    <w:rsid w:val="004847AA"/>
    <w:rsid w:val="00487F94"/>
    <w:rsid w:val="004912E3"/>
    <w:rsid w:val="00491D8C"/>
    <w:rsid w:val="004924CE"/>
    <w:rsid w:val="004948FC"/>
    <w:rsid w:val="0049526D"/>
    <w:rsid w:val="00495D24"/>
    <w:rsid w:val="00495FE1"/>
    <w:rsid w:val="00496B0D"/>
    <w:rsid w:val="0049742C"/>
    <w:rsid w:val="00497C7F"/>
    <w:rsid w:val="004A0BF3"/>
    <w:rsid w:val="004A122E"/>
    <w:rsid w:val="004A1478"/>
    <w:rsid w:val="004A1784"/>
    <w:rsid w:val="004A48DD"/>
    <w:rsid w:val="004A4DBA"/>
    <w:rsid w:val="004A687D"/>
    <w:rsid w:val="004A759F"/>
    <w:rsid w:val="004B22F4"/>
    <w:rsid w:val="004B36FA"/>
    <w:rsid w:val="004B5DC8"/>
    <w:rsid w:val="004B5FEC"/>
    <w:rsid w:val="004C03A8"/>
    <w:rsid w:val="004C0A10"/>
    <w:rsid w:val="004C0ACD"/>
    <w:rsid w:val="004C2FB4"/>
    <w:rsid w:val="004C41A1"/>
    <w:rsid w:val="004C423F"/>
    <w:rsid w:val="004C7F13"/>
    <w:rsid w:val="004D02AB"/>
    <w:rsid w:val="004D07F1"/>
    <w:rsid w:val="004D0CB6"/>
    <w:rsid w:val="004D1DF0"/>
    <w:rsid w:val="004D21CB"/>
    <w:rsid w:val="004D2A24"/>
    <w:rsid w:val="004D4F32"/>
    <w:rsid w:val="004D50FE"/>
    <w:rsid w:val="004D54A1"/>
    <w:rsid w:val="004D5674"/>
    <w:rsid w:val="004E00D8"/>
    <w:rsid w:val="004E04B1"/>
    <w:rsid w:val="004E27C4"/>
    <w:rsid w:val="004E2887"/>
    <w:rsid w:val="004E2F1F"/>
    <w:rsid w:val="004E5FD2"/>
    <w:rsid w:val="004E61E5"/>
    <w:rsid w:val="004E79BD"/>
    <w:rsid w:val="004F0930"/>
    <w:rsid w:val="004F0C2C"/>
    <w:rsid w:val="004F1210"/>
    <w:rsid w:val="004F12B3"/>
    <w:rsid w:val="004F16A8"/>
    <w:rsid w:val="004F181B"/>
    <w:rsid w:val="004F1992"/>
    <w:rsid w:val="004F1F83"/>
    <w:rsid w:val="004F20F9"/>
    <w:rsid w:val="004F257F"/>
    <w:rsid w:val="004F2B95"/>
    <w:rsid w:val="004F306D"/>
    <w:rsid w:val="004F3DDF"/>
    <w:rsid w:val="004F4B27"/>
    <w:rsid w:val="004F6122"/>
    <w:rsid w:val="004F6C46"/>
    <w:rsid w:val="004F6D2A"/>
    <w:rsid w:val="005001E5"/>
    <w:rsid w:val="00500C5D"/>
    <w:rsid w:val="00500D2B"/>
    <w:rsid w:val="00501419"/>
    <w:rsid w:val="0050357A"/>
    <w:rsid w:val="00504128"/>
    <w:rsid w:val="005053FD"/>
    <w:rsid w:val="0050610B"/>
    <w:rsid w:val="00510C02"/>
    <w:rsid w:val="00511054"/>
    <w:rsid w:val="00511AC8"/>
    <w:rsid w:val="00511B3C"/>
    <w:rsid w:val="00512863"/>
    <w:rsid w:val="00512B67"/>
    <w:rsid w:val="0051489E"/>
    <w:rsid w:val="005148F5"/>
    <w:rsid w:val="0051513D"/>
    <w:rsid w:val="005155D2"/>
    <w:rsid w:val="00516628"/>
    <w:rsid w:val="00520E77"/>
    <w:rsid w:val="0052619A"/>
    <w:rsid w:val="00526F79"/>
    <w:rsid w:val="00532412"/>
    <w:rsid w:val="0053269A"/>
    <w:rsid w:val="005336AB"/>
    <w:rsid w:val="005359BF"/>
    <w:rsid w:val="00535BBE"/>
    <w:rsid w:val="00540958"/>
    <w:rsid w:val="0054378F"/>
    <w:rsid w:val="005440A3"/>
    <w:rsid w:val="00544EA7"/>
    <w:rsid w:val="00545109"/>
    <w:rsid w:val="00545358"/>
    <w:rsid w:val="005456C9"/>
    <w:rsid w:val="00546ADC"/>
    <w:rsid w:val="005472E9"/>
    <w:rsid w:val="00547FF5"/>
    <w:rsid w:val="0055108F"/>
    <w:rsid w:val="00551AE8"/>
    <w:rsid w:val="00552FE5"/>
    <w:rsid w:val="0055315B"/>
    <w:rsid w:val="00554197"/>
    <w:rsid w:val="00554912"/>
    <w:rsid w:val="00554C58"/>
    <w:rsid w:val="005572FD"/>
    <w:rsid w:val="00557824"/>
    <w:rsid w:val="00560BFD"/>
    <w:rsid w:val="00561093"/>
    <w:rsid w:val="005612F8"/>
    <w:rsid w:val="005613EA"/>
    <w:rsid w:val="005625AD"/>
    <w:rsid w:val="00562662"/>
    <w:rsid w:val="005629FE"/>
    <w:rsid w:val="005630DC"/>
    <w:rsid w:val="0056477E"/>
    <w:rsid w:val="0056497D"/>
    <w:rsid w:val="00566A63"/>
    <w:rsid w:val="0057082F"/>
    <w:rsid w:val="00570F88"/>
    <w:rsid w:val="005720CB"/>
    <w:rsid w:val="00574938"/>
    <w:rsid w:val="00575419"/>
    <w:rsid w:val="005757F6"/>
    <w:rsid w:val="00576096"/>
    <w:rsid w:val="005762C0"/>
    <w:rsid w:val="00576902"/>
    <w:rsid w:val="00580F1B"/>
    <w:rsid w:val="00581FD6"/>
    <w:rsid w:val="00582803"/>
    <w:rsid w:val="0058358A"/>
    <w:rsid w:val="00586482"/>
    <w:rsid w:val="00586584"/>
    <w:rsid w:val="00586EC4"/>
    <w:rsid w:val="00587034"/>
    <w:rsid w:val="005905EF"/>
    <w:rsid w:val="00590636"/>
    <w:rsid w:val="00592131"/>
    <w:rsid w:val="005925C1"/>
    <w:rsid w:val="0059516E"/>
    <w:rsid w:val="0059662F"/>
    <w:rsid w:val="00596DF3"/>
    <w:rsid w:val="00597686"/>
    <w:rsid w:val="005978C1"/>
    <w:rsid w:val="00597FD6"/>
    <w:rsid w:val="005A07C2"/>
    <w:rsid w:val="005A1506"/>
    <w:rsid w:val="005A221B"/>
    <w:rsid w:val="005A30BB"/>
    <w:rsid w:val="005A3F1C"/>
    <w:rsid w:val="005A4854"/>
    <w:rsid w:val="005A5478"/>
    <w:rsid w:val="005A651F"/>
    <w:rsid w:val="005A66AA"/>
    <w:rsid w:val="005A683D"/>
    <w:rsid w:val="005B0CB1"/>
    <w:rsid w:val="005B2877"/>
    <w:rsid w:val="005B2F93"/>
    <w:rsid w:val="005B30A4"/>
    <w:rsid w:val="005B3935"/>
    <w:rsid w:val="005B3DA8"/>
    <w:rsid w:val="005B458B"/>
    <w:rsid w:val="005B47F4"/>
    <w:rsid w:val="005B5DE2"/>
    <w:rsid w:val="005B5FE6"/>
    <w:rsid w:val="005C297D"/>
    <w:rsid w:val="005C4B53"/>
    <w:rsid w:val="005C63F6"/>
    <w:rsid w:val="005C642E"/>
    <w:rsid w:val="005C65BD"/>
    <w:rsid w:val="005C68FD"/>
    <w:rsid w:val="005D0699"/>
    <w:rsid w:val="005D0CE9"/>
    <w:rsid w:val="005D1276"/>
    <w:rsid w:val="005D153F"/>
    <w:rsid w:val="005D237A"/>
    <w:rsid w:val="005D3276"/>
    <w:rsid w:val="005D32C1"/>
    <w:rsid w:val="005D461A"/>
    <w:rsid w:val="005D4AE8"/>
    <w:rsid w:val="005D4C45"/>
    <w:rsid w:val="005D564A"/>
    <w:rsid w:val="005D63F6"/>
    <w:rsid w:val="005D672D"/>
    <w:rsid w:val="005D7825"/>
    <w:rsid w:val="005D7874"/>
    <w:rsid w:val="005E135F"/>
    <w:rsid w:val="005E2468"/>
    <w:rsid w:val="005E3CFC"/>
    <w:rsid w:val="005E3E6E"/>
    <w:rsid w:val="005E45D7"/>
    <w:rsid w:val="005E58D9"/>
    <w:rsid w:val="005E6C97"/>
    <w:rsid w:val="005E7D75"/>
    <w:rsid w:val="005F3BDB"/>
    <w:rsid w:val="00605454"/>
    <w:rsid w:val="00606452"/>
    <w:rsid w:val="006064DF"/>
    <w:rsid w:val="00606BA4"/>
    <w:rsid w:val="00607B84"/>
    <w:rsid w:val="00607DFF"/>
    <w:rsid w:val="00611A04"/>
    <w:rsid w:val="00611D78"/>
    <w:rsid w:val="00612497"/>
    <w:rsid w:val="0061365E"/>
    <w:rsid w:val="00614ECD"/>
    <w:rsid w:val="0061514D"/>
    <w:rsid w:val="00617BC2"/>
    <w:rsid w:val="0062007B"/>
    <w:rsid w:val="00620344"/>
    <w:rsid w:val="00620DE5"/>
    <w:rsid w:val="00621BE2"/>
    <w:rsid w:val="00622F6B"/>
    <w:rsid w:val="00623E15"/>
    <w:rsid w:val="00623ED9"/>
    <w:rsid w:val="0062412B"/>
    <w:rsid w:val="00624467"/>
    <w:rsid w:val="00624DF4"/>
    <w:rsid w:val="00625543"/>
    <w:rsid w:val="00626C2F"/>
    <w:rsid w:val="0063032B"/>
    <w:rsid w:val="006310F3"/>
    <w:rsid w:val="00632B2B"/>
    <w:rsid w:val="00634B18"/>
    <w:rsid w:val="0063593F"/>
    <w:rsid w:val="006365A3"/>
    <w:rsid w:val="0063676A"/>
    <w:rsid w:val="006408DA"/>
    <w:rsid w:val="00642CA8"/>
    <w:rsid w:val="00642D07"/>
    <w:rsid w:val="0064324E"/>
    <w:rsid w:val="00643EDE"/>
    <w:rsid w:val="00645BBE"/>
    <w:rsid w:val="00647B3A"/>
    <w:rsid w:val="00647C87"/>
    <w:rsid w:val="0065060F"/>
    <w:rsid w:val="00651478"/>
    <w:rsid w:val="00652C35"/>
    <w:rsid w:val="00655E95"/>
    <w:rsid w:val="00656113"/>
    <w:rsid w:val="00657665"/>
    <w:rsid w:val="0066048C"/>
    <w:rsid w:val="00660A68"/>
    <w:rsid w:val="00660E63"/>
    <w:rsid w:val="0066150C"/>
    <w:rsid w:val="006617D2"/>
    <w:rsid w:val="00661FCF"/>
    <w:rsid w:val="00663879"/>
    <w:rsid w:val="00664047"/>
    <w:rsid w:val="00670BD3"/>
    <w:rsid w:val="0067391D"/>
    <w:rsid w:val="00673990"/>
    <w:rsid w:val="00675E74"/>
    <w:rsid w:val="00676276"/>
    <w:rsid w:val="00676A53"/>
    <w:rsid w:val="0067796D"/>
    <w:rsid w:val="00680CA1"/>
    <w:rsid w:val="006819C7"/>
    <w:rsid w:val="006822F7"/>
    <w:rsid w:val="00682AF9"/>
    <w:rsid w:val="0068390B"/>
    <w:rsid w:val="00685749"/>
    <w:rsid w:val="0068597E"/>
    <w:rsid w:val="00685E90"/>
    <w:rsid w:val="006873D9"/>
    <w:rsid w:val="00687492"/>
    <w:rsid w:val="00687BD2"/>
    <w:rsid w:val="006919F0"/>
    <w:rsid w:val="006927B9"/>
    <w:rsid w:val="00692C06"/>
    <w:rsid w:val="00694D91"/>
    <w:rsid w:val="0069595F"/>
    <w:rsid w:val="006A028A"/>
    <w:rsid w:val="006A0915"/>
    <w:rsid w:val="006A17AA"/>
    <w:rsid w:val="006A3D41"/>
    <w:rsid w:val="006A4579"/>
    <w:rsid w:val="006A4A41"/>
    <w:rsid w:val="006A59F3"/>
    <w:rsid w:val="006A6185"/>
    <w:rsid w:val="006A61E5"/>
    <w:rsid w:val="006A6AD8"/>
    <w:rsid w:val="006B0FFB"/>
    <w:rsid w:val="006B1F3D"/>
    <w:rsid w:val="006B3DD7"/>
    <w:rsid w:val="006B4BA3"/>
    <w:rsid w:val="006B5ED1"/>
    <w:rsid w:val="006C04D7"/>
    <w:rsid w:val="006C1065"/>
    <w:rsid w:val="006C2AFE"/>
    <w:rsid w:val="006C3002"/>
    <w:rsid w:val="006C40C4"/>
    <w:rsid w:val="006C5A72"/>
    <w:rsid w:val="006C5CF5"/>
    <w:rsid w:val="006C64BF"/>
    <w:rsid w:val="006C6C22"/>
    <w:rsid w:val="006C7201"/>
    <w:rsid w:val="006D0C53"/>
    <w:rsid w:val="006D0E53"/>
    <w:rsid w:val="006D358B"/>
    <w:rsid w:val="006D4CB7"/>
    <w:rsid w:val="006D630C"/>
    <w:rsid w:val="006D745D"/>
    <w:rsid w:val="006E0CF6"/>
    <w:rsid w:val="006E136C"/>
    <w:rsid w:val="006E2AB9"/>
    <w:rsid w:val="006E47DE"/>
    <w:rsid w:val="006E66B4"/>
    <w:rsid w:val="006E6C58"/>
    <w:rsid w:val="006E75A1"/>
    <w:rsid w:val="006F03A6"/>
    <w:rsid w:val="006F1108"/>
    <w:rsid w:val="006F14A0"/>
    <w:rsid w:val="006F17EE"/>
    <w:rsid w:val="006F2115"/>
    <w:rsid w:val="006F3284"/>
    <w:rsid w:val="006F3764"/>
    <w:rsid w:val="006F39BE"/>
    <w:rsid w:val="006F3D79"/>
    <w:rsid w:val="006F3FD1"/>
    <w:rsid w:val="006F4690"/>
    <w:rsid w:val="006F47A4"/>
    <w:rsid w:val="006F4BE0"/>
    <w:rsid w:val="006F4E74"/>
    <w:rsid w:val="006F5953"/>
    <w:rsid w:val="006F5AC2"/>
    <w:rsid w:val="006F7C90"/>
    <w:rsid w:val="00701D91"/>
    <w:rsid w:val="00703E42"/>
    <w:rsid w:val="00703F4F"/>
    <w:rsid w:val="00704C33"/>
    <w:rsid w:val="00704C3F"/>
    <w:rsid w:val="00704D57"/>
    <w:rsid w:val="00705595"/>
    <w:rsid w:val="00705BBE"/>
    <w:rsid w:val="007067CC"/>
    <w:rsid w:val="0070742A"/>
    <w:rsid w:val="00707EDF"/>
    <w:rsid w:val="0071101A"/>
    <w:rsid w:val="0071101E"/>
    <w:rsid w:val="0071395E"/>
    <w:rsid w:val="00715D4F"/>
    <w:rsid w:val="007204F7"/>
    <w:rsid w:val="0072073D"/>
    <w:rsid w:val="00721028"/>
    <w:rsid w:val="00723475"/>
    <w:rsid w:val="00726016"/>
    <w:rsid w:val="00726110"/>
    <w:rsid w:val="00726B26"/>
    <w:rsid w:val="00731BA0"/>
    <w:rsid w:val="00731C1B"/>
    <w:rsid w:val="0073265A"/>
    <w:rsid w:val="00732E06"/>
    <w:rsid w:val="0073434C"/>
    <w:rsid w:val="00734EC7"/>
    <w:rsid w:val="007367D1"/>
    <w:rsid w:val="00737DB0"/>
    <w:rsid w:val="00740777"/>
    <w:rsid w:val="00740AD3"/>
    <w:rsid w:val="007418C5"/>
    <w:rsid w:val="0074287C"/>
    <w:rsid w:val="00743513"/>
    <w:rsid w:val="007438EC"/>
    <w:rsid w:val="00743A24"/>
    <w:rsid w:val="00743A62"/>
    <w:rsid w:val="007443BE"/>
    <w:rsid w:val="0074498C"/>
    <w:rsid w:val="0074658F"/>
    <w:rsid w:val="00746676"/>
    <w:rsid w:val="0074739D"/>
    <w:rsid w:val="007478C0"/>
    <w:rsid w:val="00751969"/>
    <w:rsid w:val="00751A7C"/>
    <w:rsid w:val="00752001"/>
    <w:rsid w:val="00752769"/>
    <w:rsid w:val="00752D87"/>
    <w:rsid w:val="00753E4A"/>
    <w:rsid w:val="00754948"/>
    <w:rsid w:val="007552C6"/>
    <w:rsid w:val="007559F7"/>
    <w:rsid w:val="00755E1F"/>
    <w:rsid w:val="00757481"/>
    <w:rsid w:val="00757B0B"/>
    <w:rsid w:val="00757CDB"/>
    <w:rsid w:val="007606E0"/>
    <w:rsid w:val="00760922"/>
    <w:rsid w:val="007611F5"/>
    <w:rsid w:val="0076127E"/>
    <w:rsid w:val="00761581"/>
    <w:rsid w:val="007625C4"/>
    <w:rsid w:val="00762E3D"/>
    <w:rsid w:val="00764D7C"/>
    <w:rsid w:val="00765A91"/>
    <w:rsid w:val="00765E03"/>
    <w:rsid w:val="00766B64"/>
    <w:rsid w:val="007678DF"/>
    <w:rsid w:val="00770131"/>
    <w:rsid w:val="007714A6"/>
    <w:rsid w:val="00772800"/>
    <w:rsid w:val="00772D4C"/>
    <w:rsid w:val="0077573D"/>
    <w:rsid w:val="00775DED"/>
    <w:rsid w:val="00777769"/>
    <w:rsid w:val="00777876"/>
    <w:rsid w:val="007803CB"/>
    <w:rsid w:val="007805D6"/>
    <w:rsid w:val="007808D2"/>
    <w:rsid w:val="007814CE"/>
    <w:rsid w:val="00781ECD"/>
    <w:rsid w:val="007826BB"/>
    <w:rsid w:val="00782882"/>
    <w:rsid w:val="00783C8F"/>
    <w:rsid w:val="00784805"/>
    <w:rsid w:val="0078637D"/>
    <w:rsid w:val="007866EC"/>
    <w:rsid w:val="007867ED"/>
    <w:rsid w:val="007913EE"/>
    <w:rsid w:val="00792A30"/>
    <w:rsid w:val="00793239"/>
    <w:rsid w:val="007937D0"/>
    <w:rsid w:val="007937E1"/>
    <w:rsid w:val="00795425"/>
    <w:rsid w:val="00797EB0"/>
    <w:rsid w:val="007A2AAF"/>
    <w:rsid w:val="007A2F33"/>
    <w:rsid w:val="007A4FF0"/>
    <w:rsid w:val="007A54BB"/>
    <w:rsid w:val="007A5A29"/>
    <w:rsid w:val="007A5A2B"/>
    <w:rsid w:val="007A7CEF"/>
    <w:rsid w:val="007B02CF"/>
    <w:rsid w:val="007B14CB"/>
    <w:rsid w:val="007B27CA"/>
    <w:rsid w:val="007B3247"/>
    <w:rsid w:val="007B32A4"/>
    <w:rsid w:val="007B3899"/>
    <w:rsid w:val="007B48D9"/>
    <w:rsid w:val="007B5357"/>
    <w:rsid w:val="007B56CD"/>
    <w:rsid w:val="007B5D8B"/>
    <w:rsid w:val="007B6E29"/>
    <w:rsid w:val="007B7773"/>
    <w:rsid w:val="007C11F5"/>
    <w:rsid w:val="007C32DD"/>
    <w:rsid w:val="007C36E3"/>
    <w:rsid w:val="007C4159"/>
    <w:rsid w:val="007C462E"/>
    <w:rsid w:val="007C5D4F"/>
    <w:rsid w:val="007C60AD"/>
    <w:rsid w:val="007C673E"/>
    <w:rsid w:val="007C6DFA"/>
    <w:rsid w:val="007D1E8D"/>
    <w:rsid w:val="007D23B3"/>
    <w:rsid w:val="007D3131"/>
    <w:rsid w:val="007D463C"/>
    <w:rsid w:val="007D46A5"/>
    <w:rsid w:val="007D5E37"/>
    <w:rsid w:val="007D6294"/>
    <w:rsid w:val="007D66EB"/>
    <w:rsid w:val="007D6750"/>
    <w:rsid w:val="007D6CA9"/>
    <w:rsid w:val="007E2466"/>
    <w:rsid w:val="007E2BBC"/>
    <w:rsid w:val="007E3540"/>
    <w:rsid w:val="007E49F9"/>
    <w:rsid w:val="007E55B5"/>
    <w:rsid w:val="007E6713"/>
    <w:rsid w:val="007E70FB"/>
    <w:rsid w:val="007E7D09"/>
    <w:rsid w:val="007F0C2B"/>
    <w:rsid w:val="007F0D81"/>
    <w:rsid w:val="007F1382"/>
    <w:rsid w:val="007F1663"/>
    <w:rsid w:val="007F1BD6"/>
    <w:rsid w:val="007F2316"/>
    <w:rsid w:val="007F31E8"/>
    <w:rsid w:val="007F3634"/>
    <w:rsid w:val="007F4708"/>
    <w:rsid w:val="007F66B1"/>
    <w:rsid w:val="007F7241"/>
    <w:rsid w:val="007F7A23"/>
    <w:rsid w:val="008043E4"/>
    <w:rsid w:val="00806884"/>
    <w:rsid w:val="008070D4"/>
    <w:rsid w:val="008070E2"/>
    <w:rsid w:val="008074A6"/>
    <w:rsid w:val="00810077"/>
    <w:rsid w:val="00811A41"/>
    <w:rsid w:val="00812F22"/>
    <w:rsid w:val="008130FA"/>
    <w:rsid w:val="00813866"/>
    <w:rsid w:val="0081404D"/>
    <w:rsid w:val="00816DA2"/>
    <w:rsid w:val="008172EE"/>
    <w:rsid w:val="00817849"/>
    <w:rsid w:val="008200BF"/>
    <w:rsid w:val="00821141"/>
    <w:rsid w:val="00825F4F"/>
    <w:rsid w:val="0083095F"/>
    <w:rsid w:val="00830E7F"/>
    <w:rsid w:val="00832AF9"/>
    <w:rsid w:val="008345EE"/>
    <w:rsid w:val="00834AC2"/>
    <w:rsid w:val="008418A3"/>
    <w:rsid w:val="008443A3"/>
    <w:rsid w:val="00845577"/>
    <w:rsid w:val="00845DF8"/>
    <w:rsid w:val="008476D3"/>
    <w:rsid w:val="00851598"/>
    <w:rsid w:val="008519AF"/>
    <w:rsid w:val="008520A8"/>
    <w:rsid w:val="00853FE3"/>
    <w:rsid w:val="00855DD1"/>
    <w:rsid w:val="00855DE0"/>
    <w:rsid w:val="0086105D"/>
    <w:rsid w:val="00861891"/>
    <w:rsid w:val="00861A52"/>
    <w:rsid w:val="00862E0D"/>
    <w:rsid w:val="008646D2"/>
    <w:rsid w:val="0086581A"/>
    <w:rsid w:val="00866E95"/>
    <w:rsid w:val="008671EF"/>
    <w:rsid w:val="00867952"/>
    <w:rsid w:val="00867998"/>
    <w:rsid w:val="0087187B"/>
    <w:rsid w:val="00871C1A"/>
    <w:rsid w:val="00872D73"/>
    <w:rsid w:val="00875DCD"/>
    <w:rsid w:val="0087690D"/>
    <w:rsid w:val="00880D34"/>
    <w:rsid w:val="00881DE3"/>
    <w:rsid w:val="008820D6"/>
    <w:rsid w:val="008829CB"/>
    <w:rsid w:val="00885616"/>
    <w:rsid w:val="00892D66"/>
    <w:rsid w:val="0089486C"/>
    <w:rsid w:val="00895284"/>
    <w:rsid w:val="0089647F"/>
    <w:rsid w:val="008A05AA"/>
    <w:rsid w:val="008A0671"/>
    <w:rsid w:val="008A0D7C"/>
    <w:rsid w:val="008A1330"/>
    <w:rsid w:val="008A1635"/>
    <w:rsid w:val="008A2CBF"/>
    <w:rsid w:val="008A384C"/>
    <w:rsid w:val="008A43A8"/>
    <w:rsid w:val="008A5249"/>
    <w:rsid w:val="008A529F"/>
    <w:rsid w:val="008A629A"/>
    <w:rsid w:val="008B1592"/>
    <w:rsid w:val="008B45CA"/>
    <w:rsid w:val="008B5C31"/>
    <w:rsid w:val="008C0430"/>
    <w:rsid w:val="008C168C"/>
    <w:rsid w:val="008C1908"/>
    <w:rsid w:val="008C1931"/>
    <w:rsid w:val="008C3BC7"/>
    <w:rsid w:val="008C44F3"/>
    <w:rsid w:val="008C4D49"/>
    <w:rsid w:val="008C62D4"/>
    <w:rsid w:val="008C72E3"/>
    <w:rsid w:val="008D02B0"/>
    <w:rsid w:val="008D09CC"/>
    <w:rsid w:val="008D1003"/>
    <w:rsid w:val="008D1F4C"/>
    <w:rsid w:val="008D2398"/>
    <w:rsid w:val="008D4215"/>
    <w:rsid w:val="008D5C49"/>
    <w:rsid w:val="008D5E84"/>
    <w:rsid w:val="008D7077"/>
    <w:rsid w:val="008E1C60"/>
    <w:rsid w:val="008E217E"/>
    <w:rsid w:val="008E5893"/>
    <w:rsid w:val="008F0A46"/>
    <w:rsid w:val="008F0D42"/>
    <w:rsid w:val="008F36B6"/>
    <w:rsid w:val="008F4686"/>
    <w:rsid w:val="008F6A55"/>
    <w:rsid w:val="00900218"/>
    <w:rsid w:val="00900AD3"/>
    <w:rsid w:val="009043EC"/>
    <w:rsid w:val="00904D22"/>
    <w:rsid w:val="00905EEB"/>
    <w:rsid w:val="009064A8"/>
    <w:rsid w:val="00911521"/>
    <w:rsid w:val="009116B2"/>
    <w:rsid w:val="00911A18"/>
    <w:rsid w:val="00915874"/>
    <w:rsid w:val="009171FD"/>
    <w:rsid w:val="00917903"/>
    <w:rsid w:val="00917FDD"/>
    <w:rsid w:val="009202AF"/>
    <w:rsid w:val="0092096C"/>
    <w:rsid w:val="00920BB6"/>
    <w:rsid w:val="009210FC"/>
    <w:rsid w:val="0092161B"/>
    <w:rsid w:val="009219C1"/>
    <w:rsid w:val="00922380"/>
    <w:rsid w:val="009242F4"/>
    <w:rsid w:val="00924840"/>
    <w:rsid w:val="00925802"/>
    <w:rsid w:val="0092660E"/>
    <w:rsid w:val="00927044"/>
    <w:rsid w:val="00927CE2"/>
    <w:rsid w:val="009314CE"/>
    <w:rsid w:val="00931EB8"/>
    <w:rsid w:val="00932698"/>
    <w:rsid w:val="00934610"/>
    <w:rsid w:val="009359E6"/>
    <w:rsid w:val="00936759"/>
    <w:rsid w:val="0094138B"/>
    <w:rsid w:val="009425C4"/>
    <w:rsid w:val="00942DC3"/>
    <w:rsid w:val="00943CDE"/>
    <w:rsid w:val="00943E76"/>
    <w:rsid w:val="00944B3B"/>
    <w:rsid w:val="00945949"/>
    <w:rsid w:val="00946B5F"/>
    <w:rsid w:val="00946D4B"/>
    <w:rsid w:val="009474A5"/>
    <w:rsid w:val="00950D03"/>
    <w:rsid w:val="00953B98"/>
    <w:rsid w:val="00954049"/>
    <w:rsid w:val="0095540F"/>
    <w:rsid w:val="0095609F"/>
    <w:rsid w:val="00956325"/>
    <w:rsid w:val="009612D2"/>
    <w:rsid w:val="00961C45"/>
    <w:rsid w:val="00961DE4"/>
    <w:rsid w:val="0096272E"/>
    <w:rsid w:val="00962D75"/>
    <w:rsid w:val="00962EB8"/>
    <w:rsid w:val="009661AB"/>
    <w:rsid w:val="0096625F"/>
    <w:rsid w:val="009679CC"/>
    <w:rsid w:val="00967EA5"/>
    <w:rsid w:val="0097077F"/>
    <w:rsid w:val="0097096F"/>
    <w:rsid w:val="009711BD"/>
    <w:rsid w:val="00971277"/>
    <w:rsid w:val="00971E54"/>
    <w:rsid w:val="00974169"/>
    <w:rsid w:val="00975502"/>
    <w:rsid w:val="00976EAB"/>
    <w:rsid w:val="00976F39"/>
    <w:rsid w:val="00977899"/>
    <w:rsid w:val="00977D5E"/>
    <w:rsid w:val="009801F9"/>
    <w:rsid w:val="009808A0"/>
    <w:rsid w:val="009808E6"/>
    <w:rsid w:val="00981AEA"/>
    <w:rsid w:val="00982959"/>
    <w:rsid w:val="00983172"/>
    <w:rsid w:val="00984567"/>
    <w:rsid w:val="0098562D"/>
    <w:rsid w:val="00986D41"/>
    <w:rsid w:val="00987E95"/>
    <w:rsid w:val="0099034B"/>
    <w:rsid w:val="009903D4"/>
    <w:rsid w:val="009909EF"/>
    <w:rsid w:val="00991819"/>
    <w:rsid w:val="009923C9"/>
    <w:rsid w:val="00992A79"/>
    <w:rsid w:val="00993EA2"/>
    <w:rsid w:val="0099410C"/>
    <w:rsid w:val="0099466F"/>
    <w:rsid w:val="009951F3"/>
    <w:rsid w:val="009952DF"/>
    <w:rsid w:val="00996A2F"/>
    <w:rsid w:val="00996B0F"/>
    <w:rsid w:val="009A0230"/>
    <w:rsid w:val="009A10DA"/>
    <w:rsid w:val="009A10DC"/>
    <w:rsid w:val="009A1190"/>
    <w:rsid w:val="009A24D6"/>
    <w:rsid w:val="009A281F"/>
    <w:rsid w:val="009A2C8A"/>
    <w:rsid w:val="009A3361"/>
    <w:rsid w:val="009A4A08"/>
    <w:rsid w:val="009A53A3"/>
    <w:rsid w:val="009A55EE"/>
    <w:rsid w:val="009A57C3"/>
    <w:rsid w:val="009A60E3"/>
    <w:rsid w:val="009A60E8"/>
    <w:rsid w:val="009A6301"/>
    <w:rsid w:val="009A66BD"/>
    <w:rsid w:val="009A6B5C"/>
    <w:rsid w:val="009A722F"/>
    <w:rsid w:val="009A76DC"/>
    <w:rsid w:val="009B1BE7"/>
    <w:rsid w:val="009B2CE5"/>
    <w:rsid w:val="009B2F59"/>
    <w:rsid w:val="009B3494"/>
    <w:rsid w:val="009B64D7"/>
    <w:rsid w:val="009B6C0D"/>
    <w:rsid w:val="009B702B"/>
    <w:rsid w:val="009B7F12"/>
    <w:rsid w:val="009C0BC1"/>
    <w:rsid w:val="009C134B"/>
    <w:rsid w:val="009C1924"/>
    <w:rsid w:val="009C2461"/>
    <w:rsid w:val="009C2F85"/>
    <w:rsid w:val="009C411E"/>
    <w:rsid w:val="009C4563"/>
    <w:rsid w:val="009D1C3A"/>
    <w:rsid w:val="009D2353"/>
    <w:rsid w:val="009D37CB"/>
    <w:rsid w:val="009D3938"/>
    <w:rsid w:val="009D4A1D"/>
    <w:rsid w:val="009D5441"/>
    <w:rsid w:val="009D5EDD"/>
    <w:rsid w:val="009D6422"/>
    <w:rsid w:val="009D6A4F"/>
    <w:rsid w:val="009D7CC5"/>
    <w:rsid w:val="009D7FFA"/>
    <w:rsid w:val="009E26C7"/>
    <w:rsid w:val="009E2B46"/>
    <w:rsid w:val="009E34D5"/>
    <w:rsid w:val="009E58DD"/>
    <w:rsid w:val="009E6552"/>
    <w:rsid w:val="009E7785"/>
    <w:rsid w:val="009E7F21"/>
    <w:rsid w:val="009F0621"/>
    <w:rsid w:val="009F0693"/>
    <w:rsid w:val="009F0D85"/>
    <w:rsid w:val="009F152C"/>
    <w:rsid w:val="009F1571"/>
    <w:rsid w:val="009F2C3A"/>
    <w:rsid w:val="009F46DA"/>
    <w:rsid w:val="009F57FB"/>
    <w:rsid w:val="009F6495"/>
    <w:rsid w:val="009F756E"/>
    <w:rsid w:val="009F7931"/>
    <w:rsid w:val="009F79E6"/>
    <w:rsid w:val="009F7A7E"/>
    <w:rsid w:val="009F7CDF"/>
    <w:rsid w:val="00A00E50"/>
    <w:rsid w:val="00A0244B"/>
    <w:rsid w:val="00A03EEB"/>
    <w:rsid w:val="00A04FF3"/>
    <w:rsid w:val="00A0520A"/>
    <w:rsid w:val="00A053B2"/>
    <w:rsid w:val="00A06859"/>
    <w:rsid w:val="00A06AFA"/>
    <w:rsid w:val="00A10187"/>
    <w:rsid w:val="00A10465"/>
    <w:rsid w:val="00A10C4A"/>
    <w:rsid w:val="00A10EF3"/>
    <w:rsid w:val="00A154E5"/>
    <w:rsid w:val="00A173D9"/>
    <w:rsid w:val="00A17DDD"/>
    <w:rsid w:val="00A20243"/>
    <w:rsid w:val="00A20D05"/>
    <w:rsid w:val="00A24D3E"/>
    <w:rsid w:val="00A25D1E"/>
    <w:rsid w:val="00A25D60"/>
    <w:rsid w:val="00A264A5"/>
    <w:rsid w:val="00A2674C"/>
    <w:rsid w:val="00A301D4"/>
    <w:rsid w:val="00A320F1"/>
    <w:rsid w:val="00A334E5"/>
    <w:rsid w:val="00A33DDF"/>
    <w:rsid w:val="00A35EAE"/>
    <w:rsid w:val="00A36405"/>
    <w:rsid w:val="00A36556"/>
    <w:rsid w:val="00A3782C"/>
    <w:rsid w:val="00A37A19"/>
    <w:rsid w:val="00A405F2"/>
    <w:rsid w:val="00A4068A"/>
    <w:rsid w:val="00A41643"/>
    <w:rsid w:val="00A437EB"/>
    <w:rsid w:val="00A43CE9"/>
    <w:rsid w:val="00A44E7B"/>
    <w:rsid w:val="00A4505C"/>
    <w:rsid w:val="00A456CD"/>
    <w:rsid w:val="00A47FE4"/>
    <w:rsid w:val="00A5116C"/>
    <w:rsid w:val="00A51317"/>
    <w:rsid w:val="00A52521"/>
    <w:rsid w:val="00A5304B"/>
    <w:rsid w:val="00A5325E"/>
    <w:rsid w:val="00A53C99"/>
    <w:rsid w:val="00A549F7"/>
    <w:rsid w:val="00A560C9"/>
    <w:rsid w:val="00A56C7A"/>
    <w:rsid w:val="00A56F22"/>
    <w:rsid w:val="00A611B9"/>
    <w:rsid w:val="00A63F84"/>
    <w:rsid w:val="00A64652"/>
    <w:rsid w:val="00A6475D"/>
    <w:rsid w:val="00A65A45"/>
    <w:rsid w:val="00A66D8D"/>
    <w:rsid w:val="00A67309"/>
    <w:rsid w:val="00A704E2"/>
    <w:rsid w:val="00A738E3"/>
    <w:rsid w:val="00A74630"/>
    <w:rsid w:val="00A75510"/>
    <w:rsid w:val="00A75DCD"/>
    <w:rsid w:val="00A7656B"/>
    <w:rsid w:val="00A77C66"/>
    <w:rsid w:val="00A82383"/>
    <w:rsid w:val="00A82519"/>
    <w:rsid w:val="00A82F3B"/>
    <w:rsid w:val="00A83A6D"/>
    <w:rsid w:val="00A83C90"/>
    <w:rsid w:val="00A84B7A"/>
    <w:rsid w:val="00A85829"/>
    <w:rsid w:val="00A85B3D"/>
    <w:rsid w:val="00A869F0"/>
    <w:rsid w:val="00A90A98"/>
    <w:rsid w:val="00A90F4D"/>
    <w:rsid w:val="00A92A24"/>
    <w:rsid w:val="00A93F10"/>
    <w:rsid w:val="00A94B9C"/>
    <w:rsid w:val="00A94E11"/>
    <w:rsid w:val="00A95126"/>
    <w:rsid w:val="00A95A1E"/>
    <w:rsid w:val="00A95EBB"/>
    <w:rsid w:val="00A97721"/>
    <w:rsid w:val="00A97776"/>
    <w:rsid w:val="00AA1B56"/>
    <w:rsid w:val="00AA2613"/>
    <w:rsid w:val="00AA345E"/>
    <w:rsid w:val="00AA56C7"/>
    <w:rsid w:val="00AA5F35"/>
    <w:rsid w:val="00AA732F"/>
    <w:rsid w:val="00AB02FA"/>
    <w:rsid w:val="00AB37B5"/>
    <w:rsid w:val="00AB3E7A"/>
    <w:rsid w:val="00AB464C"/>
    <w:rsid w:val="00AB48B9"/>
    <w:rsid w:val="00AB56B0"/>
    <w:rsid w:val="00AC0EAE"/>
    <w:rsid w:val="00AC1F1A"/>
    <w:rsid w:val="00AC2906"/>
    <w:rsid w:val="00AC2F83"/>
    <w:rsid w:val="00AC4B6D"/>
    <w:rsid w:val="00AC4C41"/>
    <w:rsid w:val="00AC532F"/>
    <w:rsid w:val="00AC5E45"/>
    <w:rsid w:val="00AC69F6"/>
    <w:rsid w:val="00AC7D65"/>
    <w:rsid w:val="00AC7E83"/>
    <w:rsid w:val="00AC7FB3"/>
    <w:rsid w:val="00AD0A1D"/>
    <w:rsid w:val="00AD0DAB"/>
    <w:rsid w:val="00AD2572"/>
    <w:rsid w:val="00AD3236"/>
    <w:rsid w:val="00AD3C6F"/>
    <w:rsid w:val="00AD5767"/>
    <w:rsid w:val="00AD7159"/>
    <w:rsid w:val="00AD717B"/>
    <w:rsid w:val="00AE05AA"/>
    <w:rsid w:val="00AE377A"/>
    <w:rsid w:val="00AE4477"/>
    <w:rsid w:val="00AE56D2"/>
    <w:rsid w:val="00AE58D1"/>
    <w:rsid w:val="00AE5FF8"/>
    <w:rsid w:val="00AE655A"/>
    <w:rsid w:val="00AE77E9"/>
    <w:rsid w:val="00AF0482"/>
    <w:rsid w:val="00AF33E1"/>
    <w:rsid w:val="00AF3E5F"/>
    <w:rsid w:val="00AF3EA9"/>
    <w:rsid w:val="00AF52FC"/>
    <w:rsid w:val="00AF5392"/>
    <w:rsid w:val="00B01AAB"/>
    <w:rsid w:val="00B02472"/>
    <w:rsid w:val="00B04457"/>
    <w:rsid w:val="00B04DB5"/>
    <w:rsid w:val="00B04EE1"/>
    <w:rsid w:val="00B05FE1"/>
    <w:rsid w:val="00B07616"/>
    <w:rsid w:val="00B07A63"/>
    <w:rsid w:val="00B11604"/>
    <w:rsid w:val="00B11F74"/>
    <w:rsid w:val="00B1200D"/>
    <w:rsid w:val="00B12C21"/>
    <w:rsid w:val="00B13267"/>
    <w:rsid w:val="00B13A3A"/>
    <w:rsid w:val="00B230DE"/>
    <w:rsid w:val="00B260F5"/>
    <w:rsid w:val="00B26746"/>
    <w:rsid w:val="00B311F7"/>
    <w:rsid w:val="00B327F3"/>
    <w:rsid w:val="00B33272"/>
    <w:rsid w:val="00B33484"/>
    <w:rsid w:val="00B33697"/>
    <w:rsid w:val="00B33D13"/>
    <w:rsid w:val="00B362E1"/>
    <w:rsid w:val="00B370E4"/>
    <w:rsid w:val="00B37A25"/>
    <w:rsid w:val="00B37CBE"/>
    <w:rsid w:val="00B37E16"/>
    <w:rsid w:val="00B402F5"/>
    <w:rsid w:val="00B4080D"/>
    <w:rsid w:val="00B40B47"/>
    <w:rsid w:val="00B432EC"/>
    <w:rsid w:val="00B435CA"/>
    <w:rsid w:val="00B436E4"/>
    <w:rsid w:val="00B44731"/>
    <w:rsid w:val="00B44DEE"/>
    <w:rsid w:val="00B45E84"/>
    <w:rsid w:val="00B460C0"/>
    <w:rsid w:val="00B467EB"/>
    <w:rsid w:val="00B46C17"/>
    <w:rsid w:val="00B526B3"/>
    <w:rsid w:val="00B52A0C"/>
    <w:rsid w:val="00B52EE4"/>
    <w:rsid w:val="00B53167"/>
    <w:rsid w:val="00B546DC"/>
    <w:rsid w:val="00B54FA4"/>
    <w:rsid w:val="00B550C4"/>
    <w:rsid w:val="00B55C4B"/>
    <w:rsid w:val="00B56D12"/>
    <w:rsid w:val="00B6349A"/>
    <w:rsid w:val="00B64F89"/>
    <w:rsid w:val="00B65107"/>
    <w:rsid w:val="00B6519A"/>
    <w:rsid w:val="00B65584"/>
    <w:rsid w:val="00B66384"/>
    <w:rsid w:val="00B66E32"/>
    <w:rsid w:val="00B67A24"/>
    <w:rsid w:val="00B67ABE"/>
    <w:rsid w:val="00B723E9"/>
    <w:rsid w:val="00B72C6F"/>
    <w:rsid w:val="00B72CAE"/>
    <w:rsid w:val="00B72FC4"/>
    <w:rsid w:val="00B7653A"/>
    <w:rsid w:val="00B77C1B"/>
    <w:rsid w:val="00B80D02"/>
    <w:rsid w:val="00B81307"/>
    <w:rsid w:val="00B81968"/>
    <w:rsid w:val="00B830EA"/>
    <w:rsid w:val="00B83E9E"/>
    <w:rsid w:val="00B84D2D"/>
    <w:rsid w:val="00B85765"/>
    <w:rsid w:val="00B85C84"/>
    <w:rsid w:val="00B906D5"/>
    <w:rsid w:val="00B928F9"/>
    <w:rsid w:val="00B9305B"/>
    <w:rsid w:val="00B93CE6"/>
    <w:rsid w:val="00B9411E"/>
    <w:rsid w:val="00B94540"/>
    <w:rsid w:val="00B94966"/>
    <w:rsid w:val="00B95117"/>
    <w:rsid w:val="00B95B03"/>
    <w:rsid w:val="00B95D64"/>
    <w:rsid w:val="00B9610B"/>
    <w:rsid w:val="00B974FD"/>
    <w:rsid w:val="00B97D26"/>
    <w:rsid w:val="00BA01B9"/>
    <w:rsid w:val="00BA035F"/>
    <w:rsid w:val="00BA16A8"/>
    <w:rsid w:val="00BA1B45"/>
    <w:rsid w:val="00BA23B7"/>
    <w:rsid w:val="00BA38FC"/>
    <w:rsid w:val="00BA3DEB"/>
    <w:rsid w:val="00BA3EE8"/>
    <w:rsid w:val="00BA42BD"/>
    <w:rsid w:val="00BA448F"/>
    <w:rsid w:val="00BA7223"/>
    <w:rsid w:val="00BA7824"/>
    <w:rsid w:val="00BB24E9"/>
    <w:rsid w:val="00BB3088"/>
    <w:rsid w:val="00BB48E8"/>
    <w:rsid w:val="00BB76F6"/>
    <w:rsid w:val="00BC09E8"/>
    <w:rsid w:val="00BC10BF"/>
    <w:rsid w:val="00BC187C"/>
    <w:rsid w:val="00BC1C2E"/>
    <w:rsid w:val="00BC1E59"/>
    <w:rsid w:val="00BC48A6"/>
    <w:rsid w:val="00BC4E90"/>
    <w:rsid w:val="00BC7022"/>
    <w:rsid w:val="00BD1F65"/>
    <w:rsid w:val="00BD208E"/>
    <w:rsid w:val="00BD358C"/>
    <w:rsid w:val="00BD5841"/>
    <w:rsid w:val="00BE09EE"/>
    <w:rsid w:val="00BE0D51"/>
    <w:rsid w:val="00BE0DAF"/>
    <w:rsid w:val="00BE272C"/>
    <w:rsid w:val="00BE3151"/>
    <w:rsid w:val="00BE5208"/>
    <w:rsid w:val="00BE5FF5"/>
    <w:rsid w:val="00BE68E5"/>
    <w:rsid w:val="00BF07F2"/>
    <w:rsid w:val="00BF0B93"/>
    <w:rsid w:val="00BF287D"/>
    <w:rsid w:val="00BF3AF6"/>
    <w:rsid w:val="00BF45E3"/>
    <w:rsid w:val="00BF6B84"/>
    <w:rsid w:val="00BF7229"/>
    <w:rsid w:val="00BF7AC5"/>
    <w:rsid w:val="00BF7B24"/>
    <w:rsid w:val="00C007EF"/>
    <w:rsid w:val="00C0199C"/>
    <w:rsid w:val="00C01E0C"/>
    <w:rsid w:val="00C03505"/>
    <w:rsid w:val="00C0359A"/>
    <w:rsid w:val="00C03608"/>
    <w:rsid w:val="00C05545"/>
    <w:rsid w:val="00C07001"/>
    <w:rsid w:val="00C07044"/>
    <w:rsid w:val="00C0735D"/>
    <w:rsid w:val="00C118ED"/>
    <w:rsid w:val="00C11F6D"/>
    <w:rsid w:val="00C125F1"/>
    <w:rsid w:val="00C12CEE"/>
    <w:rsid w:val="00C13054"/>
    <w:rsid w:val="00C153AD"/>
    <w:rsid w:val="00C158F5"/>
    <w:rsid w:val="00C16F6E"/>
    <w:rsid w:val="00C17483"/>
    <w:rsid w:val="00C17567"/>
    <w:rsid w:val="00C179FD"/>
    <w:rsid w:val="00C206A5"/>
    <w:rsid w:val="00C210AC"/>
    <w:rsid w:val="00C22667"/>
    <w:rsid w:val="00C22A87"/>
    <w:rsid w:val="00C22BAC"/>
    <w:rsid w:val="00C23833"/>
    <w:rsid w:val="00C2424A"/>
    <w:rsid w:val="00C24714"/>
    <w:rsid w:val="00C25280"/>
    <w:rsid w:val="00C254C6"/>
    <w:rsid w:val="00C255EF"/>
    <w:rsid w:val="00C25BBA"/>
    <w:rsid w:val="00C26493"/>
    <w:rsid w:val="00C2775A"/>
    <w:rsid w:val="00C31109"/>
    <w:rsid w:val="00C31B74"/>
    <w:rsid w:val="00C31D0C"/>
    <w:rsid w:val="00C32B05"/>
    <w:rsid w:val="00C3645F"/>
    <w:rsid w:val="00C3799E"/>
    <w:rsid w:val="00C37D67"/>
    <w:rsid w:val="00C40BEA"/>
    <w:rsid w:val="00C422E9"/>
    <w:rsid w:val="00C4411E"/>
    <w:rsid w:val="00C44C9B"/>
    <w:rsid w:val="00C46859"/>
    <w:rsid w:val="00C5465D"/>
    <w:rsid w:val="00C54A20"/>
    <w:rsid w:val="00C55A3F"/>
    <w:rsid w:val="00C561F4"/>
    <w:rsid w:val="00C57D52"/>
    <w:rsid w:val="00C57DA5"/>
    <w:rsid w:val="00C60465"/>
    <w:rsid w:val="00C62478"/>
    <w:rsid w:val="00C629A1"/>
    <w:rsid w:val="00C63A4C"/>
    <w:rsid w:val="00C63E76"/>
    <w:rsid w:val="00C64C94"/>
    <w:rsid w:val="00C6749E"/>
    <w:rsid w:val="00C71166"/>
    <w:rsid w:val="00C71218"/>
    <w:rsid w:val="00C73561"/>
    <w:rsid w:val="00C80F11"/>
    <w:rsid w:val="00C811D1"/>
    <w:rsid w:val="00C82422"/>
    <w:rsid w:val="00C8459F"/>
    <w:rsid w:val="00C84FDB"/>
    <w:rsid w:val="00C85542"/>
    <w:rsid w:val="00C860E7"/>
    <w:rsid w:val="00C86311"/>
    <w:rsid w:val="00C86D6E"/>
    <w:rsid w:val="00C86E44"/>
    <w:rsid w:val="00C912FF"/>
    <w:rsid w:val="00C92296"/>
    <w:rsid w:val="00C93307"/>
    <w:rsid w:val="00C947A1"/>
    <w:rsid w:val="00C95027"/>
    <w:rsid w:val="00C956C2"/>
    <w:rsid w:val="00C96646"/>
    <w:rsid w:val="00C96BDA"/>
    <w:rsid w:val="00C96FEF"/>
    <w:rsid w:val="00C972E5"/>
    <w:rsid w:val="00CA0123"/>
    <w:rsid w:val="00CA0280"/>
    <w:rsid w:val="00CA0403"/>
    <w:rsid w:val="00CA0542"/>
    <w:rsid w:val="00CA1766"/>
    <w:rsid w:val="00CA3D6A"/>
    <w:rsid w:val="00CA55AD"/>
    <w:rsid w:val="00CA5920"/>
    <w:rsid w:val="00CA61A7"/>
    <w:rsid w:val="00CA65BD"/>
    <w:rsid w:val="00CB1084"/>
    <w:rsid w:val="00CB2034"/>
    <w:rsid w:val="00CB4EF3"/>
    <w:rsid w:val="00CB5216"/>
    <w:rsid w:val="00CB6B22"/>
    <w:rsid w:val="00CB730E"/>
    <w:rsid w:val="00CB7DFA"/>
    <w:rsid w:val="00CB7E5C"/>
    <w:rsid w:val="00CC0FD4"/>
    <w:rsid w:val="00CC10C0"/>
    <w:rsid w:val="00CC171A"/>
    <w:rsid w:val="00CC202C"/>
    <w:rsid w:val="00CC395B"/>
    <w:rsid w:val="00CC48D7"/>
    <w:rsid w:val="00CC4ACB"/>
    <w:rsid w:val="00CC572A"/>
    <w:rsid w:val="00CC5962"/>
    <w:rsid w:val="00CC7FBA"/>
    <w:rsid w:val="00CD03A5"/>
    <w:rsid w:val="00CD3819"/>
    <w:rsid w:val="00CD4486"/>
    <w:rsid w:val="00CD4D91"/>
    <w:rsid w:val="00CD5124"/>
    <w:rsid w:val="00CD51A4"/>
    <w:rsid w:val="00CD51D4"/>
    <w:rsid w:val="00CD57F2"/>
    <w:rsid w:val="00CD5F3C"/>
    <w:rsid w:val="00CD6043"/>
    <w:rsid w:val="00CD6782"/>
    <w:rsid w:val="00CD6FC7"/>
    <w:rsid w:val="00CD7906"/>
    <w:rsid w:val="00CD7F92"/>
    <w:rsid w:val="00CE08C4"/>
    <w:rsid w:val="00CE2220"/>
    <w:rsid w:val="00CE58D7"/>
    <w:rsid w:val="00CE5E46"/>
    <w:rsid w:val="00CE62FF"/>
    <w:rsid w:val="00CF0825"/>
    <w:rsid w:val="00CF3151"/>
    <w:rsid w:val="00CF3263"/>
    <w:rsid w:val="00CF3E73"/>
    <w:rsid w:val="00CF439F"/>
    <w:rsid w:val="00CF61D8"/>
    <w:rsid w:val="00CF69BF"/>
    <w:rsid w:val="00CF7337"/>
    <w:rsid w:val="00CF778F"/>
    <w:rsid w:val="00CF7C9A"/>
    <w:rsid w:val="00CF7CD1"/>
    <w:rsid w:val="00D00DB8"/>
    <w:rsid w:val="00D01055"/>
    <w:rsid w:val="00D01FE4"/>
    <w:rsid w:val="00D02051"/>
    <w:rsid w:val="00D03974"/>
    <w:rsid w:val="00D03FAB"/>
    <w:rsid w:val="00D041F1"/>
    <w:rsid w:val="00D04E74"/>
    <w:rsid w:val="00D0619B"/>
    <w:rsid w:val="00D07A98"/>
    <w:rsid w:val="00D11C3B"/>
    <w:rsid w:val="00D11CDE"/>
    <w:rsid w:val="00D11DB2"/>
    <w:rsid w:val="00D125B7"/>
    <w:rsid w:val="00D13AC4"/>
    <w:rsid w:val="00D15EB1"/>
    <w:rsid w:val="00D16631"/>
    <w:rsid w:val="00D16654"/>
    <w:rsid w:val="00D17005"/>
    <w:rsid w:val="00D21116"/>
    <w:rsid w:val="00D2197C"/>
    <w:rsid w:val="00D22ACA"/>
    <w:rsid w:val="00D23D07"/>
    <w:rsid w:val="00D249EC"/>
    <w:rsid w:val="00D24CA9"/>
    <w:rsid w:val="00D252CC"/>
    <w:rsid w:val="00D27DDD"/>
    <w:rsid w:val="00D3065D"/>
    <w:rsid w:val="00D31DB8"/>
    <w:rsid w:val="00D35C40"/>
    <w:rsid w:val="00D360F8"/>
    <w:rsid w:val="00D3715F"/>
    <w:rsid w:val="00D37903"/>
    <w:rsid w:val="00D40243"/>
    <w:rsid w:val="00D409FA"/>
    <w:rsid w:val="00D40B27"/>
    <w:rsid w:val="00D41270"/>
    <w:rsid w:val="00D41751"/>
    <w:rsid w:val="00D41EE1"/>
    <w:rsid w:val="00D42760"/>
    <w:rsid w:val="00D43344"/>
    <w:rsid w:val="00D43D3C"/>
    <w:rsid w:val="00D446F4"/>
    <w:rsid w:val="00D45A50"/>
    <w:rsid w:val="00D45C44"/>
    <w:rsid w:val="00D45D41"/>
    <w:rsid w:val="00D50FDE"/>
    <w:rsid w:val="00D522C3"/>
    <w:rsid w:val="00D540E4"/>
    <w:rsid w:val="00D5498D"/>
    <w:rsid w:val="00D54FF6"/>
    <w:rsid w:val="00D55221"/>
    <w:rsid w:val="00D556F0"/>
    <w:rsid w:val="00D5680C"/>
    <w:rsid w:val="00D56A05"/>
    <w:rsid w:val="00D60FEC"/>
    <w:rsid w:val="00D61085"/>
    <w:rsid w:val="00D636CF"/>
    <w:rsid w:val="00D63BE9"/>
    <w:rsid w:val="00D64C26"/>
    <w:rsid w:val="00D66CA4"/>
    <w:rsid w:val="00D66DE2"/>
    <w:rsid w:val="00D67139"/>
    <w:rsid w:val="00D708CA"/>
    <w:rsid w:val="00D70BD8"/>
    <w:rsid w:val="00D712AC"/>
    <w:rsid w:val="00D71E98"/>
    <w:rsid w:val="00D72EDE"/>
    <w:rsid w:val="00D76452"/>
    <w:rsid w:val="00D77E19"/>
    <w:rsid w:val="00D80166"/>
    <w:rsid w:val="00D814D9"/>
    <w:rsid w:val="00D81516"/>
    <w:rsid w:val="00D818EF"/>
    <w:rsid w:val="00D839F0"/>
    <w:rsid w:val="00D85DDA"/>
    <w:rsid w:val="00D86F80"/>
    <w:rsid w:val="00D87025"/>
    <w:rsid w:val="00D90267"/>
    <w:rsid w:val="00D93063"/>
    <w:rsid w:val="00D930CB"/>
    <w:rsid w:val="00D93A30"/>
    <w:rsid w:val="00D94933"/>
    <w:rsid w:val="00D95AF7"/>
    <w:rsid w:val="00DA183E"/>
    <w:rsid w:val="00DA2AE0"/>
    <w:rsid w:val="00DA335F"/>
    <w:rsid w:val="00DA5033"/>
    <w:rsid w:val="00DA62C3"/>
    <w:rsid w:val="00DA6AFA"/>
    <w:rsid w:val="00DA7115"/>
    <w:rsid w:val="00DB0311"/>
    <w:rsid w:val="00DB3021"/>
    <w:rsid w:val="00DB32AB"/>
    <w:rsid w:val="00DB33E8"/>
    <w:rsid w:val="00DB58F5"/>
    <w:rsid w:val="00DB5EE5"/>
    <w:rsid w:val="00DB6994"/>
    <w:rsid w:val="00DB722D"/>
    <w:rsid w:val="00DC0081"/>
    <w:rsid w:val="00DC037E"/>
    <w:rsid w:val="00DC1CC7"/>
    <w:rsid w:val="00DC3FC3"/>
    <w:rsid w:val="00DC61C7"/>
    <w:rsid w:val="00DC7873"/>
    <w:rsid w:val="00DD0052"/>
    <w:rsid w:val="00DD0671"/>
    <w:rsid w:val="00DD1915"/>
    <w:rsid w:val="00DD2469"/>
    <w:rsid w:val="00DD3B29"/>
    <w:rsid w:val="00DD3F9B"/>
    <w:rsid w:val="00DD4BD8"/>
    <w:rsid w:val="00DD610F"/>
    <w:rsid w:val="00DD621D"/>
    <w:rsid w:val="00DD6475"/>
    <w:rsid w:val="00DD748F"/>
    <w:rsid w:val="00DE0435"/>
    <w:rsid w:val="00DE1D66"/>
    <w:rsid w:val="00DE44FD"/>
    <w:rsid w:val="00DE477D"/>
    <w:rsid w:val="00DE5339"/>
    <w:rsid w:val="00DE571E"/>
    <w:rsid w:val="00DE67A7"/>
    <w:rsid w:val="00DE6D56"/>
    <w:rsid w:val="00DE6EBC"/>
    <w:rsid w:val="00DE6F59"/>
    <w:rsid w:val="00DE795D"/>
    <w:rsid w:val="00DE7E53"/>
    <w:rsid w:val="00DF0A8C"/>
    <w:rsid w:val="00DF2708"/>
    <w:rsid w:val="00DF2869"/>
    <w:rsid w:val="00DF43B0"/>
    <w:rsid w:val="00DF43E4"/>
    <w:rsid w:val="00DF6D86"/>
    <w:rsid w:val="00DF7043"/>
    <w:rsid w:val="00E0531C"/>
    <w:rsid w:val="00E0608B"/>
    <w:rsid w:val="00E06CEB"/>
    <w:rsid w:val="00E10C7E"/>
    <w:rsid w:val="00E148BC"/>
    <w:rsid w:val="00E15633"/>
    <w:rsid w:val="00E159F6"/>
    <w:rsid w:val="00E1612F"/>
    <w:rsid w:val="00E1619E"/>
    <w:rsid w:val="00E16872"/>
    <w:rsid w:val="00E169F0"/>
    <w:rsid w:val="00E16C58"/>
    <w:rsid w:val="00E22483"/>
    <w:rsid w:val="00E22BAE"/>
    <w:rsid w:val="00E235AC"/>
    <w:rsid w:val="00E26562"/>
    <w:rsid w:val="00E272E1"/>
    <w:rsid w:val="00E303B7"/>
    <w:rsid w:val="00E306B3"/>
    <w:rsid w:val="00E31EBC"/>
    <w:rsid w:val="00E32A87"/>
    <w:rsid w:val="00E333DF"/>
    <w:rsid w:val="00E356E0"/>
    <w:rsid w:val="00E35EB5"/>
    <w:rsid w:val="00E36C0A"/>
    <w:rsid w:val="00E379A7"/>
    <w:rsid w:val="00E42BCD"/>
    <w:rsid w:val="00E43262"/>
    <w:rsid w:val="00E44304"/>
    <w:rsid w:val="00E4564F"/>
    <w:rsid w:val="00E45900"/>
    <w:rsid w:val="00E50ADB"/>
    <w:rsid w:val="00E51522"/>
    <w:rsid w:val="00E526A8"/>
    <w:rsid w:val="00E52C28"/>
    <w:rsid w:val="00E53AF9"/>
    <w:rsid w:val="00E540D4"/>
    <w:rsid w:val="00E558B7"/>
    <w:rsid w:val="00E56AE1"/>
    <w:rsid w:val="00E56E2E"/>
    <w:rsid w:val="00E573BD"/>
    <w:rsid w:val="00E57729"/>
    <w:rsid w:val="00E61FA9"/>
    <w:rsid w:val="00E624B4"/>
    <w:rsid w:val="00E62F4A"/>
    <w:rsid w:val="00E64D95"/>
    <w:rsid w:val="00E651A6"/>
    <w:rsid w:val="00E6716E"/>
    <w:rsid w:val="00E70D5B"/>
    <w:rsid w:val="00E73388"/>
    <w:rsid w:val="00E73F5E"/>
    <w:rsid w:val="00E750BD"/>
    <w:rsid w:val="00E75F8D"/>
    <w:rsid w:val="00E76485"/>
    <w:rsid w:val="00E76BA8"/>
    <w:rsid w:val="00E8066E"/>
    <w:rsid w:val="00E81E5A"/>
    <w:rsid w:val="00E83BA8"/>
    <w:rsid w:val="00E83C4C"/>
    <w:rsid w:val="00E85CEF"/>
    <w:rsid w:val="00E874B8"/>
    <w:rsid w:val="00E87CCD"/>
    <w:rsid w:val="00E87F33"/>
    <w:rsid w:val="00E91401"/>
    <w:rsid w:val="00E91FA7"/>
    <w:rsid w:val="00E9463C"/>
    <w:rsid w:val="00E951D2"/>
    <w:rsid w:val="00E95ADD"/>
    <w:rsid w:val="00E96715"/>
    <w:rsid w:val="00E96BB5"/>
    <w:rsid w:val="00E96BDD"/>
    <w:rsid w:val="00E973A6"/>
    <w:rsid w:val="00E97CF5"/>
    <w:rsid w:val="00EA26CA"/>
    <w:rsid w:val="00EA28AA"/>
    <w:rsid w:val="00EA3B19"/>
    <w:rsid w:val="00EA4CFB"/>
    <w:rsid w:val="00EB1681"/>
    <w:rsid w:val="00EB1841"/>
    <w:rsid w:val="00EB375D"/>
    <w:rsid w:val="00EB494B"/>
    <w:rsid w:val="00EB76A6"/>
    <w:rsid w:val="00EB76BE"/>
    <w:rsid w:val="00EC05ED"/>
    <w:rsid w:val="00EC2434"/>
    <w:rsid w:val="00EC25F3"/>
    <w:rsid w:val="00EC2C38"/>
    <w:rsid w:val="00EC3E9E"/>
    <w:rsid w:val="00EC43FE"/>
    <w:rsid w:val="00EC5F29"/>
    <w:rsid w:val="00EC64D2"/>
    <w:rsid w:val="00EC675E"/>
    <w:rsid w:val="00ED273F"/>
    <w:rsid w:val="00ED2D9F"/>
    <w:rsid w:val="00ED2E34"/>
    <w:rsid w:val="00ED3306"/>
    <w:rsid w:val="00ED3B5D"/>
    <w:rsid w:val="00ED4D70"/>
    <w:rsid w:val="00ED608F"/>
    <w:rsid w:val="00ED70D4"/>
    <w:rsid w:val="00EE2F55"/>
    <w:rsid w:val="00EE43D8"/>
    <w:rsid w:val="00EE4871"/>
    <w:rsid w:val="00EE4DED"/>
    <w:rsid w:val="00EE5CBA"/>
    <w:rsid w:val="00EE5F74"/>
    <w:rsid w:val="00EE6402"/>
    <w:rsid w:val="00EF4542"/>
    <w:rsid w:val="00EF45DA"/>
    <w:rsid w:val="00EF5734"/>
    <w:rsid w:val="00EF616B"/>
    <w:rsid w:val="00EF6FE3"/>
    <w:rsid w:val="00EF7743"/>
    <w:rsid w:val="00F01876"/>
    <w:rsid w:val="00F02E62"/>
    <w:rsid w:val="00F0376C"/>
    <w:rsid w:val="00F03F7E"/>
    <w:rsid w:val="00F051D0"/>
    <w:rsid w:val="00F06BB3"/>
    <w:rsid w:val="00F112E0"/>
    <w:rsid w:val="00F1167A"/>
    <w:rsid w:val="00F11C13"/>
    <w:rsid w:val="00F134AF"/>
    <w:rsid w:val="00F140AE"/>
    <w:rsid w:val="00F148D2"/>
    <w:rsid w:val="00F159F5"/>
    <w:rsid w:val="00F16830"/>
    <w:rsid w:val="00F20570"/>
    <w:rsid w:val="00F21974"/>
    <w:rsid w:val="00F22B5B"/>
    <w:rsid w:val="00F2619D"/>
    <w:rsid w:val="00F27441"/>
    <w:rsid w:val="00F3035E"/>
    <w:rsid w:val="00F32826"/>
    <w:rsid w:val="00F34818"/>
    <w:rsid w:val="00F35F75"/>
    <w:rsid w:val="00F36D6D"/>
    <w:rsid w:val="00F40197"/>
    <w:rsid w:val="00F41A32"/>
    <w:rsid w:val="00F4200A"/>
    <w:rsid w:val="00F44D2E"/>
    <w:rsid w:val="00F46422"/>
    <w:rsid w:val="00F47590"/>
    <w:rsid w:val="00F47AD1"/>
    <w:rsid w:val="00F500B1"/>
    <w:rsid w:val="00F50EF6"/>
    <w:rsid w:val="00F51624"/>
    <w:rsid w:val="00F52186"/>
    <w:rsid w:val="00F52C87"/>
    <w:rsid w:val="00F536AB"/>
    <w:rsid w:val="00F53AC8"/>
    <w:rsid w:val="00F55D21"/>
    <w:rsid w:val="00F63A5E"/>
    <w:rsid w:val="00F66877"/>
    <w:rsid w:val="00F6734D"/>
    <w:rsid w:val="00F67E14"/>
    <w:rsid w:val="00F701D7"/>
    <w:rsid w:val="00F71C32"/>
    <w:rsid w:val="00F7287F"/>
    <w:rsid w:val="00F72AD8"/>
    <w:rsid w:val="00F73036"/>
    <w:rsid w:val="00F73425"/>
    <w:rsid w:val="00F74301"/>
    <w:rsid w:val="00F756E6"/>
    <w:rsid w:val="00F75708"/>
    <w:rsid w:val="00F75FD3"/>
    <w:rsid w:val="00F76261"/>
    <w:rsid w:val="00F7765E"/>
    <w:rsid w:val="00F80D84"/>
    <w:rsid w:val="00F82999"/>
    <w:rsid w:val="00F853AB"/>
    <w:rsid w:val="00F862A2"/>
    <w:rsid w:val="00F863EF"/>
    <w:rsid w:val="00F9038F"/>
    <w:rsid w:val="00F9112F"/>
    <w:rsid w:val="00F91ADD"/>
    <w:rsid w:val="00F925BE"/>
    <w:rsid w:val="00F93302"/>
    <w:rsid w:val="00F94670"/>
    <w:rsid w:val="00F9535B"/>
    <w:rsid w:val="00F95CE1"/>
    <w:rsid w:val="00F96973"/>
    <w:rsid w:val="00FA1F3E"/>
    <w:rsid w:val="00FA3BEE"/>
    <w:rsid w:val="00FA3D96"/>
    <w:rsid w:val="00FA5A3D"/>
    <w:rsid w:val="00FA6A9C"/>
    <w:rsid w:val="00FA7812"/>
    <w:rsid w:val="00FA7E29"/>
    <w:rsid w:val="00FB104E"/>
    <w:rsid w:val="00FB265F"/>
    <w:rsid w:val="00FB309B"/>
    <w:rsid w:val="00FB311F"/>
    <w:rsid w:val="00FB423A"/>
    <w:rsid w:val="00FB4CB0"/>
    <w:rsid w:val="00FB4E4E"/>
    <w:rsid w:val="00FB5634"/>
    <w:rsid w:val="00FB5746"/>
    <w:rsid w:val="00FB5B7D"/>
    <w:rsid w:val="00FB5BCF"/>
    <w:rsid w:val="00FB5FA9"/>
    <w:rsid w:val="00FC0E18"/>
    <w:rsid w:val="00FC26E8"/>
    <w:rsid w:val="00FC61AF"/>
    <w:rsid w:val="00FC66F4"/>
    <w:rsid w:val="00FC6BEB"/>
    <w:rsid w:val="00FC6E05"/>
    <w:rsid w:val="00FD0B3D"/>
    <w:rsid w:val="00FD2194"/>
    <w:rsid w:val="00FD2860"/>
    <w:rsid w:val="00FD337A"/>
    <w:rsid w:val="00FD6286"/>
    <w:rsid w:val="00FD6D97"/>
    <w:rsid w:val="00FD756F"/>
    <w:rsid w:val="00FD7ECF"/>
    <w:rsid w:val="00FE2666"/>
    <w:rsid w:val="00FE2720"/>
    <w:rsid w:val="00FE469B"/>
    <w:rsid w:val="00FE59BF"/>
    <w:rsid w:val="00FE6F34"/>
    <w:rsid w:val="00FF0D89"/>
    <w:rsid w:val="00FF1F46"/>
    <w:rsid w:val="00FF29AF"/>
    <w:rsid w:val="00FF3B47"/>
    <w:rsid w:val="00FF4629"/>
    <w:rsid w:val="00FF4A3B"/>
    <w:rsid w:val="00FF58BE"/>
    <w:rsid w:val="00FF7523"/>
    <w:rsid w:val="01863CF3"/>
    <w:rsid w:val="02672118"/>
    <w:rsid w:val="02DA1F80"/>
    <w:rsid w:val="02F6AB33"/>
    <w:rsid w:val="03650C88"/>
    <w:rsid w:val="04E22D28"/>
    <w:rsid w:val="0510B96F"/>
    <w:rsid w:val="05DFADA6"/>
    <w:rsid w:val="0649A22F"/>
    <w:rsid w:val="0652AF8F"/>
    <w:rsid w:val="06AC02A7"/>
    <w:rsid w:val="075952BB"/>
    <w:rsid w:val="076762B4"/>
    <w:rsid w:val="0897C9F9"/>
    <w:rsid w:val="08FBD404"/>
    <w:rsid w:val="09AC82D0"/>
    <w:rsid w:val="09CEB2AC"/>
    <w:rsid w:val="0C5EA565"/>
    <w:rsid w:val="0D3C0D03"/>
    <w:rsid w:val="0D471DB1"/>
    <w:rsid w:val="0DBF3940"/>
    <w:rsid w:val="0E60BD01"/>
    <w:rsid w:val="1008B9E3"/>
    <w:rsid w:val="102C8A7B"/>
    <w:rsid w:val="10828338"/>
    <w:rsid w:val="10B0608F"/>
    <w:rsid w:val="116B7154"/>
    <w:rsid w:val="12897133"/>
    <w:rsid w:val="1291C16F"/>
    <w:rsid w:val="12E43DC4"/>
    <w:rsid w:val="134EDBE4"/>
    <w:rsid w:val="13A9C389"/>
    <w:rsid w:val="13D83075"/>
    <w:rsid w:val="14705735"/>
    <w:rsid w:val="14C4F769"/>
    <w:rsid w:val="15D7C0DB"/>
    <w:rsid w:val="1717B16B"/>
    <w:rsid w:val="17635F7A"/>
    <w:rsid w:val="17B946E1"/>
    <w:rsid w:val="1991DB08"/>
    <w:rsid w:val="19E48933"/>
    <w:rsid w:val="19EB688C"/>
    <w:rsid w:val="1A514E88"/>
    <w:rsid w:val="1A9AACA5"/>
    <w:rsid w:val="1B0AD651"/>
    <w:rsid w:val="1B49FCB3"/>
    <w:rsid w:val="1B82E110"/>
    <w:rsid w:val="1BB3A3DD"/>
    <w:rsid w:val="1BD6C1BF"/>
    <w:rsid w:val="1C19AF44"/>
    <w:rsid w:val="1C4548ED"/>
    <w:rsid w:val="1CCA44D2"/>
    <w:rsid w:val="1D0CB36B"/>
    <w:rsid w:val="1F9F2842"/>
    <w:rsid w:val="1FB415AB"/>
    <w:rsid w:val="202B510C"/>
    <w:rsid w:val="20B6F761"/>
    <w:rsid w:val="21355CA6"/>
    <w:rsid w:val="21DCBCFA"/>
    <w:rsid w:val="22363BC9"/>
    <w:rsid w:val="22612841"/>
    <w:rsid w:val="23ACC243"/>
    <w:rsid w:val="24E4021E"/>
    <w:rsid w:val="257D324F"/>
    <w:rsid w:val="25A518E5"/>
    <w:rsid w:val="25FB93A7"/>
    <w:rsid w:val="2607926C"/>
    <w:rsid w:val="267F27EF"/>
    <w:rsid w:val="26BDDE44"/>
    <w:rsid w:val="284B43E5"/>
    <w:rsid w:val="29A09136"/>
    <w:rsid w:val="29F0A676"/>
    <w:rsid w:val="2AACC4CC"/>
    <w:rsid w:val="2C4A59BD"/>
    <w:rsid w:val="2DAA2E43"/>
    <w:rsid w:val="2DE21F17"/>
    <w:rsid w:val="3007DEB9"/>
    <w:rsid w:val="300C9144"/>
    <w:rsid w:val="307567DC"/>
    <w:rsid w:val="30EF4475"/>
    <w:rsid w:val="3277FDB2"/>
    <w:rsid w:val="32E46BB2"/>
    <w:rsid w:val="334E267F"/>
    <w:rsid w:val="33BF7265"/>
    <w:rsid w:val="34352BF7"/>
    <w:rsid w:val="345D6C56"/>
    <w:rsid w:val="3562C31D"/>
    <w:rsid w:val="35D0E7EC"/>
    <w:rsid w:val="36E551A5"/>
    <w:rsid w:val="374F47C3"/>
    <w:rsid w:val="37AB0DA8"/>
    <w:rsid w:val="37E0788F"/>
    <w:rsid w:val="387AB4E9"/>
    <w:rsid w:val="395E0034"/>
    <w:rsid w:val="39C088B6"/>
    <w:rsid w:val="39E06A91"/>
    <w:rsid w:val="39E58382"/>
    <w:rsid w:val="3A25C5E1"/>
    <w:rsid w:val="3AECFAD7"/>
    <w:rsid w:val="3C31D441"/>
    <w:rsid w:val="3C8BA3EA"/>
    <w:rsid w:val="3CF12608"/>
    <w:rsid w:val="3D016E62"/>
    <w:rsid w:val="3DE95E18"/>
    <w:rsid w:val="3E9DF8EA"/>
    <w:rsid w:val="40715575"/>
    <w:rsid w:val="41C10EAA"/>
    <w:rsid w:val="41C40FB7"/>
    <w:rsid w:val="41FF27FF"/>
    <w:rsid w:val="42415010"/>
    <w:rsid w:val="433B209D"/>
    <w:rsid w:val="43B47197"/>
    <w:rsid w:val="44FA3512"/>
    <w:rsid w:val="45CF8B5C"/>
    <w:rsid w:val="474A405A"/>
    <w:rsid w:val="483145D2"/>
    <w:rsid w:val="49993FD3"/>
    <w:rsid w:val="499D0296"/>
    <w:rsid w:val="49FEE1A5"/>
    <w:rsid w:val="4A730EBD"/>
    <w:rsid w:val="4BB03605"/>
    <w:rsid w:val="4C688A94"/>
    <w:rsid w:val="4CBEDD1D"/>
    <w:rsid w:val="4F35933F"/>
    <w:rsid w:val="4F83B13C"/>
    <w:rsid w:val="51FD2A0C"/>
    <w:rsid w:val="53913173"/>
    <w:rsid w:val="539F1D6E"/>
    <w:rsid w:val="54CC9ECE"/>
    <w:rsid w:val="566A25A4"/>
    <w:rsid w:val="566E0670"/>
    <w:rsid w:val="575835CD"/>
    <w:rsid w:val="579A84C3"/>
    <w:rsid w:val="57C9E5A5"/>
    <w:rsid w:val="58E9FD8F"/>
    <w:rsid w:val="597FC874"/>
    <w:rsid w:val="5A498242"/>
    <w:rsid w:val="5A50E963"/>
    <w:rsid w:val="5A95BD31"/>
    <w:rsid w:val="5B49A067"/>
    <w:rsid w:val="5B523A4F"/>
    <w:rsid w:val="5B884AB9"/>
    <w:rsid w:val="5BFE41B4"/>
    <w:rsid w:val="5C14E0D6"/>
    <w:rsid w:val="5C6F21D6"/>
    <w:rsid w:val="5C833DDF"/>
    <w:rsid w:val="5D2D1830"/>
    <w:rsid w:val="5E29891E"/>
    <w:rsid w:val="5E29F658"/>
    <w:rsid w:val="5E5AB068"/>
    <w:rsid w:val="5EA01279"/>
    <w:rsid w:val="5ECD0FFB"/>
    <w:rsid w:val="607703B5"/>
    <w:rsid w:val="60B74455"/>
    <w:rsid w:val="626D4C04"/>
    <w:rsid w:val="63856E9E"/>
    <w:rsid w:val="639C860A"/>
    <w:rsid w:val="6430A72D"/>
    <w:rsid w:val="644C4DA4"/>
    <w:rsid w:val="65D03CC8"/>
    <w:rsid w:val="665CA2B5"/>
    <w:rsid w:val="67D993D5"/>
    <w:rsid w:val="67EF2D60"/>
    <w:rsid w:val="69423085"/>
    <w:rsid w:val="69B44318"/>
    <w:rsid w:val="69F63D14"/>
    <w:rsid w:val="6AD3F642"/>
    <w:rsid w:val="6C3463FF"/>
    <w:rsid w:val="6D19D700"/>
    <w:rsid w:val="6D9D99A0"/>
    <w:rsid w:val="6E1186F1"/>
    <w:rsid w:val="6E44A72E"/>
    <w:rsid w:val="703079A1"/>
    <w:rsid w:val="70743D86"/>
    <w:rsid w:val="70A81BC4"/>
    <w:rsid w:val="70D98BC4"/>
    <w:rsid w:val="71D4C0B6"/>
    <w:rsid w:val="71EB52E2"/>
    <w:rsid w:val="72753BA8"/>
    <w:rsid w:val="72A5C518"/>
    <w:rsid w:val="72BDA6DE"/>
    <w:rsid w:val="73270284"/>
    <w:rsid w:val="73ED93C1"/>
    <w:rsid w:val="75B31455"/>
    <w:rsid w:val="7696110E"/>
    <w:rsid w:val="773DA3AA"/>
    <w:rsid w:val="7813DD8A"/>
    <w:rsid w:val="7863350F"/>
    <w:rsid w:val="79A51F9C"/>
    <w:rsid w:val="79F531BA"/>
    <w:rsid w:val="7A0C60DE"/>
    <w:rsid w:val="7A531A42"/>
    <w:rsid w:val="7A74343D"/>
    <w:rsid w:val="7A91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6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EB"/>
    <w:pPr>
      <w:spacing w:after="0" w:line="280" w:lineRule="atLeast"/>
      <w:ind w:firstLine="720"/>
      <w:jc w:val="both"/>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6A028A"/>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06CEB"/>
    <w:pPr>
      <w:keepNext/>
      <w:keepLines/>
      <w:spacing w:before="160"/>
      <w:ind w:firstLine="0"/>
      <w:outlineLvl w:val="1"/>
    </w:pPr>
    <w:rPr>
      <w:rFonts w:asciiTheme="minorHAnsi" w:eastAsia="Calibri" w:hAnsiTheme="minorHAnsi" w:cstheme="majorBidi"/>
      <w:b/>
      <w:sz w:val="22"/>
      <w:szCs w:val="26"/>
    </w:rPr>
  </w:style>
  <w:style w:type="paragraph" w:styleId="Heading3">
    <w:name w:val="heading 3"/>
    <w:basedOn w:val="Normal"/>
    <w:next w:val="Normal"/>
    <w:link w:val="Heading3Char"/>
    <w:uiPriority w:val="9"/>
    <w:semiHidden/>
    <w:unhideWhenUsed/>
    <w:qFormat/>
    <w:rsid w:val="00E76BA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8A"/>
    <w:pPr>
      <w:tabs>
        <w:tab w:val="center" w:pos="4680"/>
        <w:tab w:val="right" w:pos="9360"/>
      </w:tabs>
      <w:spacing w:line="240" w:lineRule="auto"/>
    </w:pPr>
  </w:style>
  <w:style w:type="character" w:customStyle="1" w:styleId="HeaderChar">
    <w:name w:val="Header Char"/>
    <w:basedOn w:val="DefaultParagraphFont"/>
    <w:link w:val="Header"/>
    <w:uiPriority w:val="99"/>
    <w:rsid w:val="006A028A"/>
  </w:style>
  <w:style w:type="paragraph" w:styleId="Footer">
    <w:name w:val="footer"/>
    <w:basedOn w:val="Normal"/>
    <w:link w:val="FooterChar"/>
    <w:uiPriority w:val="99"/>
    <w:unhideWhenUsed/>
    <w:rsid w:val="006A028A"/>
    <w:pPr>
      <w:tabs>
        <w:tab w:val="center" w:pos="4680"/>
        <w:tab w:val="right" w:pos="9360"/>
      </w:tabs>
      <w:spacing w:line="240" w:lineRule="auto"/>
    </w:pPr>
  </w:style>
  <w:style w:type="character" w:customStyle="1" w:styleId="FooterChar">
    <w:name w:val="Footer Char"/>
    <w:basedOn w:val="DefaultParagraphFont"/>
    <w:link w:val="Footer"/>
    <w:uiPriority w:val="99"/>
    <w:rsid w:val="006A028A"/>
  </w:style>
  <w:style w:type="character" w:customStyle="1" w:styleId="Heading1Char">
    <w:name w:val="Heading 1 Char"/>
    <w:basedOn w:val="DefaultParagraphFont"/>
    <w:link w:val="Heading1"/>
    <w:uiPriority w:val="9"/>
    <w:rsid w:val="006A02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028A"/>
    <w:pPr>
      <w:ind w:left="720"/>
      <w:contextualSpacing/>
    </w:pPr>
  </w:style>
  <w:style w:type="paragraph" w:styleId="BalloonText">
    <w:name w:val="Balloon Text"/>
    <w:basedOn w:val="Normal"/>
    <w:link w:val="BalloonTextChar"/>
    <w:uiPriority w:val="99"/>
    <w:semiHidden/>
    <w:unhideWhenUsed/>
    <w:rsid w:val="007937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0"/>
    <w:rPr>
      <w:rFonts w:ascii="Segoe UI" w:hAnsi="Segoe UI" w:cs="Segoe UI"/>
      <w:sz w:val="18"/>
      <w:szCs w:val="18"/>
    </w:rPr>
  </w:style>
  <w:style w:type="paragraph" w:styleId="FootnoteText">
    <w:name w:val="footnote text"/>
    <w:aliases w:val="Footnote ak,fn,footnote text,Footnotes,single space,FOOTNOTES,Fußnotentext Char,ADB,Footnote text,ft,Footnote Text Char2 Char,Footnote Text Char1 Char Char,Footnote Text Char2 Char Char Char,Footnote Text Char1 Char,Footno,Geneva 9"/>
    <w:basedOn w:val="Normal"/>
    <w:link w:val="FootnoteTextChar"/>
    <w:uiPriority w:val="99"/>
    <w:unhideWhenUsed/>
    <w:rsid w:val="003B019B"/>
    <w:pPr>
      <w:spacing w:line="240" w:lineRule="auto"/>
    </w:pPr>
    <w:rPr>
      <w:szCs w:val="20"/>
    </w:rPr>
  </w:style>
  <w:style w:type="character" w:customStyle="1" w:styleId="FootnoteTextChar">
    <w:name w:val="Footnote Text Char"/>
    <w:aliases w:val="Footnote ak Char,fn Char,footnote text Char1,Footnotes Char,single space Char,FOOTNOTES Char,Fußnotentext Char Char,ADB Char,Footnote text Char,ft Char,Footnote Text Char2 Char Char,Footnote Text Char1 Char Char Char,Footno Char"/>
    <w:basedOn w:val="DefaultParagraphFont"/>
    <w:link w:val="FootnoteText"/>
    <w:uiPriority w:val="99"/>
    <w:rsid w:val="003B019B"/>
    <w:rPr>
      <w:sz w:val="20"/>
      <w:szCs w:val="20"/>
    </w:rPr>
  </w:style>
  <w:style w:type="character" w:styleId="FootnoteReference">
    <w:name w:val="footnote reference"/>
    <w:aliases w:val="ftref,16 Point,Superscript 6 Point,footnote ref, BVI fnr,Ref,de nota al pie,BVI fnr,Footnotes refss,Footnote Reference1,fr,Footnote Reference Number,Footnote Reference_LVL6,Footnote Reference_LVL61,Footnote Reference_LVL62,Footnote"/>
    <w:basedOn w:val="DefaultParagraphFont"/>
    <w:link w:val="CharChar1CharCharCharChar1CharCharCharCharCharCharCharChar"/>
    <w:uiPriority w:val="99"/>
    <w:unhideWhenUsed/>
    <w:rsid w:val="003B019B"/>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B019B"/>
    <w:pPr>
      <w:spacing w:line="240" w:lineRule="exact"/>
    </w:pPr>
    <w:rPr>
      <w:vertAlign w:val="superscript"/>
    </w:rPr>
  </w:style>
  <w:style w:type="character" w:customStyle="1" w:styleId="Heading2Char">
    <w:name w:val="Heading 2 Char"/>
    <w:basedOn w:val="DefaultParagraphFont"/>
    <w:link w:val="Heading2"/>
    <w:uiPriority w:val="9"/>
    <w:rsid w:val="00E06CEB"/>
    <w:rPr>
      <w:rFonts w:eastAsia="Calibri" w:cstheme="majorBidi"/>
      <w:b/>
      <w:szCs w:val="26"/>
      <w:lang w:val="en-GB"/>
    </w:rPr>
  </w:style>
  <w:style w:type="paragraph" w:customStyle="1" w:styleId="Figure">
    <w:name w:val="Figure"/>
    <w:basedOn w:val="Normal"/>
    <w:rsid w:val="00FA3BEE"/>
    <w:pPr>
      <w:ind w:firstLine="0"/>
      <w:jc w:val="center"/>
    </w:pPr>
    <w:rPr>
      <w:b/>
    </w:rPr>
  </w:style>
  <w:style w:type="character" w:styleId="Hyperlink">
    <w:name w:val="Hyperlink"/>
    <w:uiPriority w:val="99"/>
    <w:rsid w:val="00FA3BEE"/>
    <w:rPr>
      <w:color w:val="0000FF"/>
      <w:u w:val="single"/>
    </w:rPr>
  </w:style>
  <w:style w:type="paragraph" w:customStyle="1" w:styleId="Tabletitle">
    <w:name w:val="Table title"/>
    <w:basedOn w:val="Normal"/>
    <w:rsid w:val="00FA3BEE"/>
    <w:pPr>
      <w:tabs>
        <w:tab w:val="num" w:pos="360"/>
      </w:tabs>
      <w:ind w:left="360" w:hanging="360"/>
      <w:jc w:val="center"/>
    </w:pPr>
    <w:rPr>
      <w:rFonts w:eastAsia="SimSun"/>
      <w:b/>
    </w:rPr>
  </w:style>
  <w:style w:type="character" w:customStyle="1" w:styleId="FootnoteTextChar2">
    <w:name w:val="Footnote Text Char2"/>
    <w:aliases w:val="Footnote ak Char2,fn Char2,footnote text Char,Footnotes Char2"/>
    <w:uiPriority w:val="99"/>
    <w:rsid w:val="00FA3BEE"/>
    <w:rPr>
      <w:rFonts w:eastAsia="SimSun"/>
      <w:lang w:val="en-US" w:eastAsia="zh-CN" w:bidi="ar-SA"/>
    </w:rPr>
  </w:style>
  <w:style w:type="table" w:customStyle="1" w:styleId="TableGrid12">
    <w:name w:val="Table Grid12"/>
    <w:basedOn w:val="TableNormal"/>
    <w:next w:val="TableGrid"/>
    <w:uiPriority w:val="59"/>
    <w:rsid w:val="00FA3BEE"/>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FA3BEE"/>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54948"/>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eGrid1">
    <w:name w:val="Table Grid1"/>
    <w:basedOn w:val="TableNormal"/>
    <w:next w:val="TableGrid"/>
    <w:uiPriority w:val="39"/>
    <w:rsid w:val="0075494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5454"/>
    <w:rPr>
      <w:color w:val="954F72" w:themeColor="followedHyperlink"/>
      <w:u w:val="single"/>
    </w:rPr>
  </w:style>
  <w:style w:type="paragraph" w:customStyle="1" w:styleId="Boxtitle">
    <w:name w:val="Box title"/>
    <w:basedOn w:val="Figure"/>
    <w:rsid w:val="00023EB7"/>
  </w:style>
  <w:style w:type="character" w:customStyle="1" w:styleId="UnresolvedMention">
    <w:name w:val="Unresolved Mention"/>
    <w:basedOn w:val="DefaultParagraphFont"/>
    <w:uiPriority w:val="99"/>
    <w:semiHidden/>
    <w:unhideWhenUsed/>
    <w:rsid w:val="00DA6AFA"/>
    <w:rPr>
      <w:color w:val="808080"/>
      <w:shd w:val="clear" w:color="auto" w:fill="E6E6E6"/>
    </w:rPr>
  </w:style>
  <w:style w:type="table" w:customStyle="1" w:styleId="TableGrid2">
    <w:name w:val="Table Grid2"/>
    <w:basedOn w:val="TableNormal"/>
    <w:next w:val="TableGrid"/>
    <w:uiPriority w:val="39"/>
    <w:rsid w:val="001C2EC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02AE"/>
    <w:rPr>
      <w:sz w:val="16"/>
      <w:szCs w:val="16"/>
    </w:rPr>
  </w:style>
  <w:style w:type="paragraph" w:styleId="CommentText">
    <w:name w:val="annotation text"/>
    <w:basedOn w:val="Normal"/>
    <w:link w:val="CommentTextChar"/>
    <w:uiPriority w:val="99"/>
    <w:unhideWhenUsed/>
    <w:rsid w:val="004302AE"/>
    <w:pPr>
      <w:spacing w:line="240" w:lineRule="auto"/>
    </w:pPr>
    <w:rPr>
      <w:szCs w:val="20"/>
    </w:rPr>
  </w:style>
  <w:style w:type="character" w:customStyle="1" w:styleId="CommentTextChar">
    <w:name w:val="Comment Text Char"/>
    <w:basedOn w:val="DefaultParagraphFont"/>
    <w:link w:val="CommentText"/>
    <w:uiPriority w:val="99"/>
    <w:rsid w:val="004302A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02AE"/>
    <w:rPr>
      <w:b/>
      <w:bCs/>
    </w:rPr>
  </w:style>
  <w:style w:type="character" w:customStyle="1" w:styleId="CommentSubjectChar">
    <w:name w:val="Comment Subject Char"/>
    <w:basedOn w:val="CommentTextChar"/>
    <w:link w:val="CommentSubject"/>
    <w:uiPriority w:val="99"/>
    <w:semiHidden/>
    <w:rsid w:val="004302AE"/>
    <w:rPr>
      <w:rFonts w:ascii="Arial" w:eastAsia="Times New Roman" w:hAnsi="Arial" w:cs="Times New Roman"/>
      <w:b/>
      <w:bCs/>
      <w:sz w:val="20"/>
      <w:szCs w:val="20"/>
      <w:lang w:val="en-GB"/>
    </w:rPr>
  </w:style>
  <w:style w:type="paragraph" w:customStyle="1" w:styleId="Default">
    <w:name w:val="Default"/>
    <w:rsid w:val="00B95117"/>
    <w:pPr>
      <w:autoSpaceDE w:val="0"/>
      <w:autoSpaceDN w:val="0"/>
      <w:adjustRightInd w:val="0"/>
      <w:spacing w:after="0" w:line="240" w:lineRule="auto"/>
    </w:pPr>
    <w:rPr>
      <w:rFonts w:ascii="Calibri" w:hAnsi="Calibri" w:cs="Calibri"/>
      <w:color w:val="000000"/>
      <w:sz w:val="24"/>
      <w:szCs w:val="24"/>
    </w:rPr>
  </w:style>
  <w:style w:type="table" w:customStyle="1" w:styleId="GridTable5DarkAccent1">
    <w:name w:val="Grid Table 5 Dark Accent 1"/>
    <w:basedOn w:val="TableNormal"/>
    <w:uiPriority w:val="50"/>
    <w:rsid w:val="00B95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11">
    <w:name w:val="Grid Table 5 Dark - Accent 11"/>
    <w:basedOn w:val="TableNormal"/>
    <w:next w:val="GridTable5DarkAccent1"/>
    <w:uiPriority w:val="50"/>
    <w:rsid w:val="003F41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
    <w:name w:val="Table Grid3"/>
    <w:basedOn w:val="TableNormal"/>
    <w:next w:val="TableGrid"/>
    <w:uiPriority w:val="39"/>
    <w:rsid w:val="005456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388"/>
    <w:pPr>
      <w:spacing w:after="0" w:line="240" w:lineRule="auto"/>
    </w:pPr>
    <w:rPr>
      <w:rFonts w:ascii="Arial" w:eastAsia="Times New Roman" w:hAnsi="Arial" w:cs="Times New Roman"/>
      <w:sz w:val="20"/>
      <w:szCs w:val="24"/>
      <w:lang w:val="en-GB"/>
    </w:rPr>
  </w:style>
  <w:style w:type="character" w:customStyle="1" w:styleId="UnresolvedMention1">
    <w:name w:val="Unresolved Mention1"/>
    <w:basedOn w:val="DefaultParagraphFont"/>
    <w:uiPriority w:val="99"/>
    <w:semiHidden/>
    <w:unhideWhenUsed/>
    <w:rsid w:val="00781ECD"/>
    <w:rPr>
      <w:color w:val="808080"/>
      <w:shd w:val="clear" w:color="auto" w:fill="E6E6E6"/>
    </w:rPr>
  </w:style>
  <w:style w:type="character" w:customStyle="1" w:styleId="Heading3Char">
    <w:name w:val="Heading 3 Char"/>
    <w:basedOn w:val="DefaultParagraphFont"/>
    <w:link w:val="Heading3"/>
    <w:uiPriority w:val="9"/>
    <w:semiHidden/>
    <w:rsid w:val="00E76BA8"/>
    <w:rPr>
      <w:rFonts w:asciiTheme="majorHAnsi" w:eastAsiaTheme="majorEastAsia" w:hAnsiTheme="majorHAnsi" w:cstheme="majorBidi"/>
      <w:color w:val="1F3763"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EB"/>
    <w:pPr>
      <w:spacing w:after="0" w:line="280" w:lineRule="atLeast"/>
      <w:ind w:firstLine="720"/>
      <w:jc w:val="both"/>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6A028A"/>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06CEB"/>
    <w:pPr>
      <w:keepNext/>
      <w:keepLines/>
      <w:spacing w:before="160"/>
      <w:ind w:firstLine="0"/>
      <w:outlineLvl w:val="1"/>
    </w:pPr>
    <w:rPr>
      <w:rFonts w:asciiTheme="minorHAnsi" w:eastAsia="Calibri" w:hAnsiTheme="minorHAnsi" w:cstheme="majorBidi"/>
      <w:b/>
      <w:sz w:val="22"/>
      <w:szCs w:val="26"/>
    </w:rPr>
  </w:style>
  <w:style w:type="paragraph" w:styleId="Heading3">
    <w:name w:val="heading 3"/>
    <w:basedOn w:val="Normal"/>
    <w:next w:val="Normal"/>
    <w:link w:val="Heading3Char"/>
    <w:uiPriority w:val="9"/>
    <w:semiHidden/>
    <w:unhideWhenUsed/>
    <w:qFormat/>
    <w:rsid w:val="00E76BA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8A"/>
    <w:pPr>
      <w:tabs>
        <w:tab w:val="center" w:pos="4680"/>
        <w:tab w:val="right" w:pos="9360"/>
      </w:tabs>
      <w:spacing w:line="240" w:lineRule="auto"/>
    </w:pPr>
  </w:style>
  <w:style w:type="character" w:customStyle="1" w:styleId="HeaderChar">
    <w:name w:val="Header Char"/>
    <w:basedOn w:val="DefaultParagraphFont"/>
    <w:link w:val="Header"/>
    <w:uiPriority w:val="99"/>
    <w:rsid w:val="006A028A"/>
  </w:style>
  <w:style w:type="paragraph" w:styleId="Footer">
    <w:name w:val="footer"/>
    <w:basedOn w:val="Normal"/>
    <w:link w:val="FooterChar"/>
    <w:uiPriority w:val="99"/>
    <w:unhideWhenUsed/>
    <w:rsid w:val="006A028A"/>
    <w:pPr>
      <w:tabs>
        <w:tab w:val="center" w:pos="4680"/>
        <w:tab w:val="right" w:pos="9360"/>
      </w:tabs>
      <w:spacing w:line="240" w:lineRule="auto"/>
    </w:pPr>
  </w:style>
  <w:style w:type="character" w:customStyle="1" w:styleId="FooterChar">
    <w:name w:val="Footer Char"/>
    <w:basedOn w:val="DefaultParagraphFont"/>
    <w:link w:val="Footer"/>
    <w:uiPriority w:val="99"/>
    <w:rsid w:val="006A028A"/>
  </w:style>
  <w:style w:type="character" w:customStyle="1" w:styleId="Heading1Char">
    <w:name w:val="Heading 1 Char"/>
    <w:basedOn w:val="DefaultParagraphFont"/>
    <w:link w:val="Heading1"/>
    <w:uiPriority w:val="9"/>
    <w:rsid w:val="006A02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028A"/>
    <w:pPr>
      <w:ind w:left="720"/>
      <w:contextualSpacing/>
    </w:pPr>
  </w:style>
  <w:style w:type="paragraph" w:styleId="BalloonText">
    <w:name w:val="Balloon Text"/>
    <w:basedOn w:val="Normal"/>
    <w:link w:val="BalloonTextChar"/>
    <w:uiPriority w:val="99"/>
    <w:semiHidden/>
    <w:unhideWhenUsed/>
    <w:rsid w:val="007937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0"/>
    <w:rPr>
      <w:rFonts w:ascii="Segoe UI" w:hAnsi="Segoe UI" w:cs="Segoe UI"/>
      <w:sz w:val="18"/>
      <w:szCs w:val="18"/>
    </w:rPr>
  </w:style>
  <w:style w:type="paragraph" w:styleId="FootnoteText">
    <w:name w:val="footnote text"/>
    <w:aliases w:val="Footnote ak,fn,footnote text,Footnotes,single space,FOOTNOTES,Fußnotentext Char,ADB,Footnote text,ft,Footnote Text Char2 Char,Footnote Text Char1 Char Char,Footnote Text Char2 Char Char Char,Footnote Text Char1 Char,Footno,Geneva 9"/>
    <w:basedOn w:val="Normal"/>
    <w:link w:val="FootnoteTextChar"/>
    <w:uiPriority w:val="99"/>
    <w:unhideWhenUsed/>
    <w:rsid w:val="003B019B"/>
    <w:pPr>
      <w:spacing w:line="240" w:lineRule="auto"/>
    </w:pPr>
    <w:rPr>
      <w:szCs w:val="20"/>
    </w:rPr>
  </w:style>
  <w:style w:type="character" w:customStyle="1" w:styleId="FootnoteTextChar">
    <w:name w:val="Footnote Text Char"/>
    <w:aliases w:val="Footnote ak Char,fn Char,footnote text Char1,Footnotes Char,single space Char,FOOTNOTES Char,Fußnotentext Char Char,ADB Char,Footnote text Char,ft Char,Footnote Text Char2 Char Char,Footnote Text Char1 Char Char Char,Footno Char"/>
    <w:basedOn w:val="DefaultParagraphFont"/>
    <w:link w:val="FootnoteText"/>
    <w:uiPriority w:val="99"/>
    <w:rsid w:val="003B019B"/>
    <w:rPr>
      <w:sz w:val="20"/>
      <w:szCs w:val="20"/>
    </w:rPr>
  </w:style>
  <w:style w:type="character" w:styleId="FootnoteReference">
    <w:name w:val="footnote reference"/>
    <w:aliases w:val="ftref,16 Point,Superscript 6 Point,footnote ref, BVI fnr,Ref,de nota al pie,BVI fnr,Footnotes refss,Footnote Reference1,fr,Footnote Reference Number,Footnote Reference_LVL6,Footnote Reference_LVL61,Footnote Reference_LVL62,Footnote"/>
    <w:basedOn w:val="DefaultParagraphFont"/>
    <w:link w:val="CharChar1CharCharCharChar1CharCharCharCharCharCharCharChar"/>
    <w:uiPriority w:val="99"/>
    <w:unhideWhenUsed/>
    <w:rsid w:val="003B019B"/>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B019B"/>
    <w:pPr>
      <w:spacing w:line="240" w:lineRule="exact"/>
    </w:pPr>
    <w:rPr>
      <w:vertAlign w:val="superscript"/>
    </w:rPr>
  </w:style>
  <w:style w:type="character" w:customStyle="1" w:styleId="Heading2Char">
    <w:name w:val="Heading 2 Char"/>
    <w:basedOn w:val="DefaultParagraphFont"/>
    <w:link w:val="Heading2"/>
    <w:uiPriority w:val="9"/>
    <w:rsid w:val="00E06CEB"/>
    <w:rPr>
      <w:rFonts w:eastAsia="Calibri" w:cstheme="majorBidi"/>
      <w:b/>
      <w:szCs w:val="26"/>
      <w:lang w:val="en-GB"/>
    </w:rPr>
  </w:style>
  <w:style w:type="paragraph" w:customStyle="1" w:styleId="Figure">
    <w:name w:val="Figure"/>
    <w:basedOn w:val="Normal"/>
    <w:rsid w:val="00FA3BEE"/>
    <w:pPr>
      <w:ind w:firstLine="0"/>
      <w:jc w:val="center"/>
    </w:pPr>
    <w:rPr>
      <w:b/>
    </w:rPr>
  </w:style>
  <w:style w:type="character" w:styleId="Hyperlink">
    <w:name w:val="Hyperlink"/>
    <w:uiPriority w:val="99"/>
    <w:rsid w:val="00FA3BEE"/>
    <w:rPr>
      <w:color w:val="0000FF"/>
      <w:u w:val="single"/>
    </w:rPr>
  </w:style>
  <w:style w:type="paragraph" w:customStyle="1" w:styleId="Tabletitle">
    <w:name w:val="Table title"/>
    <w:basedOn w:val="Normal"/>
    <w:rsid w:val="00FA3BEE"/>
    <w:pPr>
      <w:tabs>
        <w:tab w:val="num" w:pos="360"/>
      </w:tabs>
      <w:ind w:left="360" w:hanging="360"/>
      <w:jc w:val="center"/>
    </w:pPr>
    <w:rPr>
      <w:rFonts w:eastAsia="SimSun"/>
      <w:b/>
    </w:rPr>
  </w:style>
  <w:style w:type="character" w:customStyle="1" w:styleId="FootnoteTextChar2">
    <w:name w:val="Footnote Text Char2"/>
    <w:aliases w:val="Footnote ak Char2,fn Char2,footnote text Char,Footnotes Char2"/>
    <w:uiPriority w:val="99"/>
    <w:rsid w:val="00FA3BEE"/>
    <w:rPr>
      <w:rFonts w:eastAsia="SimSun"/>
      <w:lang w:val="en-US" w:eastAsia="zh-CN" w:bidi="ar-SA"/>
    </w:rPr>
  </w:style>
  <w:style w:type="table" w:customStyle="1" w:styleId="TableGrid12">
    <w:name w:val="Table Grid12"/>
    <w:basedOn w:val="TableNormal"/>
    <w:next w:val="TableGrid"/>
    <w:uiPriority w:val="59"/>
    <w:rsid w:val="00FA3BEE"/>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FA3BEE"/>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54948"/>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eGrid1">
    <w:name w:val="Table Grid1"/>
    <w:basedOn w:val="TableNormal"/>
    <w:next w:val="TableGrid"/>
    <w:uiPriority w:val="39"/>
    <w:rsid w:val="0075494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5454"/>
    <w:rPr>
      <w:color w:val="954F72" w:themeColor="followedHyperlink"/>
      <w:u w:val="single"/>
    </w:rPr>
  </w:style>
  <w:style w:type="paragraph" w:customStyle="1" w:styleId="Boxtitle">
    <w:name w:val="Box title"/>
    <w:basedOn w:val="Figure"/>
    <w:rsid w:val="00023EB7"/>
  </w:style>
  <w:style w:type="character" w:customStyle="1" w:styleId="UnresolvedMention">
    <w:name w:val="Unresolved Mention"/>
    <w:basedOn w:val="DefaultParagraphFont"/>
    <w:uiPriority w:val="99"/>
    <w:semiHidden/>
    <w:unhideWhenUsed/>
    <w:rsid w:val="00DA6AFA"/>
    <w:rPr>
      <w:color w:val="808080"/>
      <w:shd w:val="clear" w:color="auto" w:fill="E6E6E6"/>
    </w:rPr>
  </w:style>
  <w:style w:type="table" w:customStyle="1" w:styleId="TableGrid2">
    <w:name w:val="Table Grid2"/>
    <w:basedOn w:val="TableNormal"/>
    <w:next w:val="TableGrid"/>
    <w:uiPriority w:val="39"/>
    <w:rsid w:val="001C2EC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02AE"/>
    <w:rPr>
      <w:sz w:val="16"/>
      <w:szCs w:val="16"/>
    </w:rPr>
  </w:style>
  <w:style w:type="paragraph" w:styleId="CommentText">
    <w:name w:val="annotation text"/>
    <w:basedOn w:val="Normal"/>
    <w:link w:val="CommentTextChar"/>
    <w:uiPriority w:val="99"/>
    <w:unhideWhenUsed/>
    <w:rsid w:val="004302AE"/>
    <w:pPr>
      <w:spacing w:line="240" w:lineRule="auto"/>
    </w:pPr>
    <w:rPr>
      <w:szCs w:val="20"/>
    </w:rPr>
  </w:style>
  <w:style w:type="character" w:customStyle="1" w:styleId="CommentTextChar">
    <w:name w:val="Comment Text Char"/>
    <w:basedOn w:val="DefaultParagraphFont"/>
    <w:link w:val="CommentText"/>
    <w:uiPriority w:val="99"/>
    <w:rsid w:val="004302A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02AE"/>
    <w:rPr>
      <w:b/>
      <w:bCs/>
    </w:rPr>
  </w:style>
  <w:style w:type="character" w:customStyle="1" w:styleId="CommentSubjectChar">
    <w:name w:val="Comment Subject Char"/>
    <w:basedOn w:val="CommentTextChar"/>
    <w:link w:val="CommentSubject"/>
    <w:uiPriority w:val="99"/>
    <w:semiHidden/>
    <w:rsid w:val="004302AE"/>
    <w:rPr>
      <w:rFonts w:ascii="Arial" w:eastAsia="Times New Roman" w:hAnsi="Arial" w:cs="Times New Roman"/>
      <w:b/>
      <w:bCs/>
      <w:sz w:val="20"/>
      <w:szCs w:val="20"/>
      <w:lang w:val="en-GB"/>
    </w:rPr>
  </w:style>
  <w:style w:type="paragraph" w:customStyle="1" w:styleId="Default">
    <w:name w:val="Default"/>
    <w:rsid w:val="00B95117"/>
    <w:pPr>
      <w:autoSpaceDE w:val="0"/>
      <w:autoSpaceDN w:val="0"/>
      <w:adjustRightInd w:val="0"/>
      <w:spacing w:after="0" w:line="240" w:lineRule="auto"/>
    </w:pPr>
    <w:rPr>
      <w:rFonts w:ascii="Calibri" w:hAnsi="Calibri" w:cs="Calibri"/>
      <w:color w:val="000000"/>
      <w:sz w:val="24"/>
      <w:szCs w:val="24"/>
    </w:rPr>
  </w:style>
  <w:style w:type="table" w:customStyle="1" w:styleId="GridTable5DarkAccent1">
    <w:name w:val="Grid Table 5 Dark Accent 1"/>
    <w:basedOn w:val="TableNormal"/>
    <w:uiPriority w:val="50"/>
    <w:rsid w:val="00B95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11">
    <w:name w:val="Grid Table 5 Dark - Accent 11"/>
    <w:basedOn w:val="TableNormal"/>
    <w:next w:val="GridTable5DarkAccent1"/>
    <w:uiPriority w:val="50"/>
    <w:rsid w:val="003F41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
    <w:name w:val="Table Grid3"/>
    <w:basedOn w:val="TableNormal"/>
    <w:next w:val="TableGrid"/>
    <w:uiPriority w:val="39"/>
    <w:rsid w:val="005456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388"/>
    <w:pPr>
      <w:spacing w:after="0" w:line="240" w:lineRule="auto"/>
    </w:pPr>
    <w:rPr>
      <w:rFonts w:ascii="Arial" w:eastAsia="Times New Roman" w:hAnsi="Arial" w:cs="Times New Roman"/>
      <w:sz w:val="20"/>
      <w:szCs w:val="24"/>
      <w:lang w:val="en-GB"/>
    </w:rPr>
  </w:style>
  <w:style w:type="character" w:customStyle="1" w:styleId="UnresolvedMention1">
    <w:name w:val="Unresolved Mention1"/>
    <w:basedOn w:val="DefaultParagraphFont"/>
    <w:uiPriority w:val="99"/>
    <w:semiHidden/>
    <w:unhideWhenUsed/>
    <w:rsid w:val="00781ECD"/>
    <w:rPr>
      <w:color w:val="808080"/>
      <w:shd w:val="clear" w:color="auto" w:fill="E6E6E6"/>
    </w:rPr>
  </w:style>
  <w:style w:type="character" w:customStyle="1" w:styleId="Heading3Char">
    <w:name w:val="Heading 3 Char"/>
    <w:basedOn w:val="DefaultParagraphFont"/>
    <w:link w:val="Heading3"/>
    <w:uiPriority w:val="9"/>
    <w:semiHidden/>
    <w:rsid w:val="00E76BA8"/>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1009">
      <w:bodyDiv w:val="1"/>
      <w:marLeft w:val="0"/>
      <w:marRight w:val="0"/>
      <w:marTop w:val="0"/>
      <w:marBottom w:val="0"/>
      <w:divBdr>
        <w:top w:val="none" w:sz="0" w:space="0" w:color="auto"/>
        <w:left w:val="none" w:sz="0" w:space="0" w:color="auto"/>
        <w:bottom w:val="none" w:sz="0" w:space="0" w:color="auto"/>
        <w:right w:val="none" w:sz="0" w:space="0" w:color="auto"/>
      </w:divBdr>
    </w:div>
    <w:div w:id="237442717">
      <w:bodyDiv w:val="1"/>
      <w:marLeft w:val="0"/>
      <w:marRight w:val="0"/>
      <w:marTop w:val="0"/>
      <w:marBottom w:val="0"/>
      <w:divBdr>
        <w:top w:val="none" w:sz="0" w:space="0" w:color="auto"/>
        <w:left w:val="none" w:sz="0" w:space="0" w:color="auto"/>
        <w:bottom w:val="none" w:sz="0" w:space="0" w:color="auto"/>
        <w:right w:val="none" w:sz="0" w:space="0" w:color="auto"/>
      </w:divBdr>
    </w:div>
    <w:div w:id="302082844">
      <w:bodyDiv w:val="1"/>
      <w:marLeft w:val="0"/>
      <w:marRight w:val="0"/>
      <w:marTop w:val="0"/>
      <w:marBottom w:val="0"/>
      <w:divBdr>
        <w:top w:val="none" w:sz="0" w:space="0" w:color="auto"/>
        <w:left w:val="none" w:sz="0" w:space="0" w:color="auto"/>
        <w:bottom w:val="none" w:sz="0" w:space="0" w:color="auto"/>
        <w:right w:val="none" w:sz="0" w:space="0" w:color="auto"/>
      </w:divBdr>
    </w:div>
    <w:div w:id="415446010">
      <w:bodyDiv w:val="1"/>
      <w:marLeft w:val="0"/>
      <w:marRight w:val="0"/>
      <w:marTop w:val="0"/>
      <w:marBottom w:val="0"/>
      <w:divBdr>
        <w:top w:val="none" w:sz="0" w:space="0" w:color="auto"/>
        <w:left w:val="none" w:sz="0" w:space="0" w:color="auto"/>
        <w:bottom w:val="none" w:sz="0" w:space="0" w:color="auto"/>
        <w:right w:val="none" w:sz="0" w:space="0" w:color="auto"/>
      </w:divBdr>
    </w:div>
    <w:div w:id="518273803">
      <w:bodyDiv w:val="1"/>
      <w:marLeft w:val="0"/>
      <w:marRight w:val="0"/>
      <w:marTop w:val="0"/>
      <w:marBottom w:val="0"/>
      <w:divBdr>
        <w:top w:val="none" w:sz="0" w:space="0" w:color="auto"/>
        <w:left w:val="none" w:sz="0" w:space="0" w:color="auto"/>
        <w:bottom w:val="none" w:sz="0" w:space="0" w:color="auto"/>
        <w:right w:val="none" w:sz="0" w:space="0" w:color="auto"/>
      </w:divBdr>
    </w:div>
    <w:div w:id="531697773">
      <w:bodyDiv w:val="1"/>
      <w:marLeft w:val="0"/>
      <w:marRight w:val="0"/>
      <w:marTop w:val="0"/>
      <w:marBottom w:val="0"/>
      <w:divBdr>
        <w:top w:val="none" w:sz="0" w:space="0" w:color="auto"/>
        <w:left w:val="none" w:sz="0" w:space="0" w:color="auto"/>
        <w:bottom w:val="none" w:sz="0" w:space="0" w:color="auto"/>
        <w:right w:val="none" w:sz="0" w:space="0" w:color="auto"/>
      </w:divBdr>
    </w:div>
    <w:div w:id="751123776">
      <w:bodyDiv w:val="1"/>
      <w:marLeft w:val="0"/>
      <w:marRight w:val="0"/>
      <w:marTop w:val="0"/>
      <w:marBottom w:val="0"/>
      <w:divBdr>
        <w:top w:val="none" w:sz="0" w:space="0" w:color="auto"/>
        <w:left w:val="none" w:sz="0" w:space="0" w:color="auto"/>
        <w:bottom w:val="none" w:sz="0" w:space="0" w:color="auto"/>
        <w:right w:val="none" w:sz="0" w:space="0" w:color="auto"/>
      </w:divBdr>
    </w:div>
    <w:div w:id="762920570">
      <w:bodyDiv w:val="1"/>
      <w:marLeft w:val="0"/>
      <w:marRight w:val="0"/>
      <w:marTop w:val="0"/>
      <w:marBottom w:val="0"/>
      <w:divBdr>
        <w:top w:val="none" w:sz="0" w:space="0" w:color="auto"/>
        <w:left w:val="none" w:sz="0" w:space="0" w:color="auto"/>
        <w:bottom w:val="none" w:sz="0" w:space="0" w:color="auto"/>
        <w:right w:val="none" w:sz="0" w:space="0" w:color="auto"/>
      </w:divBdr>
    </w:div>
    <w:div w:id="790242315">
      <w:bodyDiv w:val="1"/>
      <w:marLeft w:val="0"/>
      <w:marRight w:val="0"/>
      <w:marTop w:val="0"/>
      <w:marBottom w:val="0"/>
      <w:divBdr>
        <w:top w:val="none" w:sz="0" w:space="0" w:color="auto"/>
        <w:left w:val="none" w:sz="0" w:space="0" w:color="auto"/>
        <w:bottom w:val="none" w:sz="0" w:space="0" w:color="auto"/>
        <w:right w:val="none" w:sz="0" w:space="0" w:color="auto"/>
      </w:divBdr>
    </w:div>
    <w:div w:id="1110079202">
      <w:bodyDiv w:val="1"/>
      <w:marLeft w:val="0"/>
      <w:marRight w:val="0"/>
      <w:marTop w:val="0"/>
      <w:marBottom w:val="0"/>
      <w:divBdr>
        <w:top w:val="none" w:sz="0" w:space="0" w:color="auto"/>
        <w:left w:val="none" w:sz="0" w:space="0" w:color="auto"/>
        <w:bottom w:val="none" w:sz="0" w:space="0" w:color="auto"/>
        <w:right w:val="none" w:sz="0" w:space="0" w:color="auto"/>
      </w:divBdr>
    </w:div>
    <w:div w:id="1114251048">
      <w:bodyDiv w:val="1"/>
      <w:marLeft w:val="0"/>
      <w:marRight w:val="0"/>
      <w:marTop w:val="0"/>
      <w:marBottom w:val="0"/>
      <w:divBdr>
        <w:top w:val="none" w:sz="0" w:space="0" w:color="auto"/>
        <w:left w:val="none" w:sz="0" w:space="0" w:color="auto"/>
        <w:bottom w:val="none" w:sz="0" w:space="0" w:color="auto"/>
        <w:right w:val="none" w:sz="0" w:space="0" w:color="auto"/>
      </w:divBdr>
    </w:div>
    <w:div w:id="1137455801">
      <w:bodyDiv w:val="1"/>
      <w:marLeft w:val="0"/>
      <w:marRight w:val="0"/>
      <w:marTop w:val="0"/>
      <w:marBottom w:val="0"/>
      <w:divBdr>
        <w:top w:val="none" w:sz="0" w:space="0" w:color="auto"/>
        <w:left w:val="none" w:sz="0" w:space="0" w:color="auto"/>
        <w:bottom w:val="none" w:sz="0" w:space="0" w:color="auto"/>
        <w:right w:val="none" w:sz="0" w:space="0" w:color="auto"/>
      </w:divBdr>
    </w:div>
    <w:div w:id="1147014173">
      <w:bodyDiv w:val="1"/>
      <w:marLeft w:val="0"/>
      <w:marRight w:val="0"/>
      <w:marTop w:val="0"/>
      <w:marBottom w:val="0"/>
      <w:divBdr>
        <w:top w:val="none" w:sz="0" w:space="0" w:color="auto"/>
        <w:left w:val="none" w:sz="0" w:space="0" w:color="auto"/>
        <w:bottom w:val="none" w:sz="0" w:space="0" w:color="auto"/>
        <w:right w:val="none" w:sz="0" w:space="0" w:color="auto"/>
      </w:divBdr>
      <w:divsChild>
        <w:div w:id="1888564780">
          <w:marLeft w:val="0"/>
          <w:marRight w:val="0"/>
          <w:marTop w:val="0"/>
          <w:marBottom w:val="0"/>
          <w:divBdr>
            <w:top w:val="none" w:sz="0" w:space="0" w:color="auto"/>
            <w:left w:val="none" w:sz="0" w:space="0" w:color="auto"/>
            <w:bottom w:val="none" w:sz="0" w:space="0" w:color="auto"/>
            <w:right w:val="none" w:sz="0" w:space="0" w:color="auto"/>
          </w:divBdr>
          <w:divsChild>
            <w:div w:id="1927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9727">
      <w:bodyDiv w:val="1"/>
      <w:marLeft w:val="0"/>
      <w:marRight w:val="0"/>
      <w:marTop w:val="0"/>
      <w:marBottom w:val="0"/>
      <w:divBdr>
        <w:top w:val="none" w:sz="0" w:space="0" w:color="auto"/>
        <w:left w:val="none" w:sz="0" w:space="0" w:color="auto"/>
        <w:bottom w:val="none" w:sz="0" w:space="0" w:color="auto"/>
        <w:right w:val="none" w:sz="0" w:space="0" w:color="auto"/>
      </w:divBdr>
    </w:div>
    <w:div w:id="1185940695">
      <w:bodyDiv w:val="1"/>
      <w:marLeft w:val="0"/>
      <w:marRight w:val="0"/>
      <w:marTop w:val="0"/>
      <w:marBottom w:val="0"/>
      <w:divBdr>
        <w:top w:val="none" w:sz="0" w:space="0" w:color="auto"/>
        <w:left w:val="none" w:sz="0" w:space="0" w:color="auto"/>
        <w:bottom w:val="none" w:sz="0" w:space="0" w:color="auto"/>
        <w:right w:val="none" w:sz="0" w:space="0" w:color="auto"/>
      </w:divBdr>
    </w:div>
    <w:div w:id="1227842594">
      <w:bodyDiv w:val="1"/>
      <w:marLeft w:val="0"/>
      <w:marRight w:val="0"/>
      <w:marTop w:val="0"/>
      <w:marBottom w:val="0"/>
      <w:divBdr>
        <w:top w:val="none" w:sz="0" w:space="0" w:color="auto"/>
        <w:left w:val="none" w:sz="0" w:space="0" w:color="auto"/>
        <w:bottom w:val="none" w:sz="0" w:space="0" w:color="auto"/>
        <w:right w:val="none" w:sz="0" w:space="0" w:color="auto"/>
      </w:divBdr>
    </w:div>
    <w:div w:id="1325204200">
      <w:bodyDiv w:val="1"/>
      <w:marLeft w:val="0"/>
      <w:marRight w:val="0"/>
      <w:marTop w:val="0"/>
      <w:marBottom w:val="0"/>
      <w:divBdr>
        <w:top w:val="none" w:sz="0" w:space="0" w:color="auto"/>
        <w:left w:val="none" w:sz="0" w:space="0" w:color="auto"/>
        <w:bottom w:val="none" w:sz="0" w:space="0" w:color="auto"/>
        <w:right w:val="none" w:sz="0" w:space="0" w:color="auto"/>
      </w:divBdr>
    </w:div>
    <w:div w:id="1371610656">
      <w:bodyDiv w:val="1"/>
      <w:marLeft w:val="0"/>
      <w:marRight w:val="0"/>
      <w:marTop w:val="0"/>
      <w:marBottom w:val="0"/>
      <w:divBdr>
        <w:top w:val="none" w:sz="0" w:space="0" w:color="auto"/>
        <w:left w:val="none" w:sz="0" w:space="0" w:color="auto"/>
        <w:bottom w:val="none" w:sz="0" w:space="0" w:color="auto"/>
        <w:right w:val="none" w:sz="0" w:space="0" w:color="auto"/>
      </w:divBdr>
    </w:div>
    <w:div w:id="1418557708">
      <w:bodyDiv w:val="1"/>
      <w:marLeft w:val="0"/>
      <w:marRight w:val="0"/>
      <w:marTop w:val="0"/>
      <w:marBottom w:val="0"/>
      <w:divBdr>
        <w:top w:val="none" w:sz="0" w:space="0" w:color="auto"/>
        <w:left w:val="none" w:sz="0" w:space="0" w:color="auto"/>
        <w:bottom w:val="none" w:sz="0" w:space="0" w:color="auto"/>
        <w:right w:val="none" w:sz="0" w:space="0" w:color="auto"/>
      </w:divBdr>
    </w:div>
    <w:div w:id="1444764643">
      <w:bodyDiv w:val="1"/>
      <w:marLeft w:val="0"/>
      <w:marRight w:val="0"/>
      <w:marTop w:val="0"/>
      <w:marBottom w:val="0"/>
      <w:divBdr>
        <w:top w:val="none" w:sz="0" w:space="0" w:color="auto"/>
        <w:left w:val="none" w:sz="0" w:space="0" w:color="auto"/>
        <w:bottom w:val="none" w:sz="0" w:space="0" w:color="auto"/>
        <w:right w:val="none" w:sz="0" w:space="0" w:color="auto"/>
      </w:divBdr>
    </w:div>
    <w:div w:id="1458640877">
      <w:bodyDiv w:val="1"/>
      <w:marLeft w:val="0"/>
      <w:marRight w:val="0"/>
      <w:marTop w:val="0"/>
      <w:marBottom w:val="0"/>
      <w:divBdr>
        <w:top w:val="none" w:sz="0" w:space="0" w:color="auto"/>
        <w:left w:val="none" w:sz="0" w:space="0" w:color="auto"/>
        <w:bottom w:val="none" w:sz="0" w:space="0" w:color="auto"/>
        <w:right w:val="none" w:sz="0" w:space="0" w:color="auto"/>
      </w:divBdr>
    </w:div>
    <w:div w:id="1505513559">
      <w:bodyDiv w:val="1"/>
      <w:marLeft w:val="0"/>
      <w:marRight w:val="0"/>
      <w:marTop w:val="0"/>
      <w:marBottom w:val="0"/>
      <w:divBdr>
        <w:top w:val="none" w:sz="0" w:space="0" w:color="auto"/>
        <w:left w:val="none" w:sz="0" w:space="0" w:color="auto"/>
        <w:bottom w:val="none" w:sz="0" w:space="0" w:color="auto"/>
        <w:right w:val="none" w:sz="0" w:space="0" w:color="auto"/>
      </w:divBdr>
      <w:divsChild>
        <w:div w:id="1955943265">
          <w:marLeft w:val="0"/>
          <w:marRight w:val="0"/>
          <w:marTop w:val="0"/>
          <w:marBottom w:val="0"/>
          <w:divBdr>
            <w:top w:val="none" w:sz="0" w:space="0" w:color="auto"/>
            <w:left w:val="none" w:sz="0" w:space="0" w:color="auto"/>
            <w:bottom w:val="none" w:sz="0" w:space="0" w:color="auto"/>
            <w:right w:val="none" w:sz="0" w:space="0" w:color="auto"/>
          </w:divBdr>
          <w:divsChild>
            <w:div w:id="8919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608">
      <w:bodyDiv w:val="1"/>
      <w:marLeft w:val="0"/>
      <w:marRight w:val="0"/>
      <w:marTop w:val="0"/>
      <w:marBottom w:val="0"/>
      <w:divBdr>
        <w:top w:val="none" w:sz="0" w:space="0" w:color="auto"/>
        <w:left w:val="none" w:sz="0" w:space="0" w:color="auto"/>
        <w:bottom w:val="none" w:sz="0" w:space="0" w:color="auto"/>
        <w:right w:val="none" w:sz="0" w:space="0" w:color="auto"/>
      </w:divBdr>
    </w:div>
    <w:div w:id="1551192392">
      <w:bodyDiv w:val="1"/>
      <w:marLeft w:val="0"/>
      <w:marRight w:val="0"/>
      <w:marTop w:val="0"/>
      <w:marBottom w:val="0"/>
      <w:divBdr>
        <w:top w:val="none" w:sz="0" w:space="0" w:color="auto"/>
        <w:left w:val="none" w:sz="0" w:space="0" w:color="auto"/>
        <w:bottom w:val="none" w:sz="0" w:space="0" w:color="auto"/>
        <w:right w:val="none" w:sz="0" w:space="0" w:color="auto"/>
      </w:divBdr>
    </w:div>
    <w:div w:id="1564566293">
      <w:bodyDiv w:val="1"/>
      <w:marLeft w:val="0"/>
      <w:marRight w:val="0"/>
      <w:marTop w:val="0"/>
      <w:marBottom w:val="0"/>
      <w:divBdr>
        <w:top w:val="none" w:sz="0" w:space="0" w:color="auto"/>
        <w:left w:val="none" w:sz="0" w:space="0" w:color="auto"/>
        <w:bottom w:val="none" w:sz="0" w:space="0" w:color="auto"/>
        <w:right w:val="none" w:sz="0" w:space="0" w:color="auto"/>
      </w:divBdr>
    </w:div>
    <w:div w:id="1610159460">
      <w:bodyDiv w:val="1"/>
      <w:marLeft w:val="0"/>
      <w:marRight w:val="0"/>
      <w:marTop w:val="0"/>
      <w:marBottom w:val="0"/>
      <w:divBdr>
        <w:top w:val="none" w:sz="0" w:space="0" w:color="auto"/>
        <w:left w:val="none" w:sz="0" w:space="0" w:color="auto"/>
        <w:bottom w:val="none" w:sz="0" w:space="0" w:color="auto"/>
        <w:right w:val="none" w:sz="0" w:space="0" w:color="auto"/>
      </w:divBdr>
    </w:div>
    <w:div w:id="1620408103">
      <w:bodyDiv w:val="1"/>
      <w:marLeft w:val="0"/>
      <w:marRight w:val="0"/>
      <w:marTop w:val="0"/>
      <w:marBottom w:val="0"/>
      <w:divBdr>
        <w:top w:val="none" w:sz="0" w:space="0" w:color="auto"/>
        <w:left w:val="none" w:sz="0" w:space="0" w:color="auto"/>
        <w:bottom w:val="none" w:sz="0" w:space="0" w:color="auto"/>
        <w:right w:val="none" w:sz="0" w:space="0" w:color="auto"/>
      </w:divBdr>
    </w:div>
    <w:div w:id="1680959444">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
    <w:div w:id="1720549197">
      <w:bodyDiv w:val="1"/>
      <w:marLeft w:val="0"/>
      <w:marRight w:val="0"/>
      <w:marTop w:val="0"/>
      <w:marBottom w:val="0"/>
      <w:divBdr>
        <w:top w:val="none" w:sz="0" w:space="0" w:color="auto"/>
        <w:left w:val="none" w:sz="0" w:space="0" w:color="auto"/>
        <w:bottom w:val="none" w:sz="0" w:space="0" w:color="auto"/>
        <w:right w:val="none" w:sz="0" w:space="0" w:color="auto"/>
      </w:divBdr>
      <w:divsChild>
        <w:div w:id="1585138799">
          <w:marLeft w:val="0"/>
          <w:marRight w:val="0"/>
          <w:marTop w:val="0"/>
          <w:marBottom w:val="0"/>
          <w:divBdr>
            <w:top w:val="none" w:sz="0" w:space="0" w:color="auto"/>
            <w:left w:val="none" w:sz="0" w:space="0" w:color="auto"/>
            <w:bottom w:val="none" w:sz="0" w:space="0" w:color="auto"/>
            <w:right w:val="none" w:sz="0" w:space="0" w:color="auto"/>
          </w:divBdr>
          <w:divsChild>
            <w:div w:id="15819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726">
      <w:bodyDiv w:val="1"/>
      <w:marLeft w:val="0"/>
      <w:marRight w:val="0"/>
      <w:marTop w:val="0"/>
      <w:marBottom w:val="0"/>
      <w:divBdr>
        <w:top w:val="none" w:sz="0" w:space="0" w:color="auto"/>
        <w:left w:val="none" w:sz="0" w:space="0" w:color="auto"/>
        <w:bottom w:val="none" w:sz="0" w:space="0" w:color="auto"/>
        <w:right w:val="none" w:sz="0" w:space="0" w:color="auto"/>
      </w:divBdr>
    </w:div>
    <w:div w:id="1918129662">
      <w:bodyDiv w:val="1"/>
      <w:marLeft w:val="0"/>
      <w:marRight w:val="0"/>
      <w:marTop w:val="0"/>
      <w:marBottom w:val="0"/>
      <w:divBdr>
        <w:top w:val="none" w:sz="0" w:space="0" w:color="auto"/>
        <w:left w:val="none" w:sz="0" w:space="0" w:color="auto"/>
        <w:bottom w:val="none" w:sz="0" w:space="0" w:color="auto"/>
        <w:right w:val="none" w:sz="0" w:space="0" w:color="auto"/>
      </w:divBdr>
      <w:divsChild>
        <w:div w:id="680818182">
          <w:marLeft w:val="0"/>
          <w:marRight w:val="0"/>
          <w:marTop w:val="0"/>
          <w:marBottom w:val="0"/>
          <w:divBdr>
            <w:top w:val="none" w:sz="0" w:space="0" w:color="auto"/>
            <w:left w:val="none" w:sz="0" w:space="0" w:color="auto"/>
            <w:bottom w:val="none" w:sz="0" w:space="0" w:color="auto"/>
            <w:right w:val="none" w:sz="0" w:space="0" w:color="auto"/>
          </w:divBdr>
          <w:divsChild>
            <w:div w:id="1882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ord-edit.officeapps.live.com/we/www.investinsee.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vestinse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conditions-membership/chapters-of-the-acquis_en" TargetMode="External"/><Relationship Id="rId2" Type="http://schemas.openxmlformats.org/officeDocument/2006/relationships/hyperlink" Target="https://eur-lex.europa.eu/legal-content/EN/TXT/?uri=CELEX:32006L0123" TargetMode="External"/><Relationship Id="rId1" Type="http://schemas.openxmlformats.org/officeDocument/2006/relationships/hyperlink" Target="http://www.investinsee.com" TargetMode="External"/><Relationship Id="rId4" Type="http://schemas.openxmlformats.org/officeDocument/2006/relationships/hyperlink" Target="https://unstats.un.org/unsd/publication/seriesM/seriesm_4rev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BD1D-F22D-40F8-BD75-126A7CD9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 Sabha</dc:creator>
  <cp:lastModifiedBy>Irfan Lipovica</cp:lastModifiedBy>
  <cp:revision>4</cp:revision>
  <cp:lastPrinted>2018-10-11T20:54:00Z</cp:lastPrinted>
  <dcterms:created xsi:type="dcterms:W3CDTF">2018-12-17T10:53:00Z</dcterms:created>
  <dcterms:modified xsi:type="dcterms:W3CDTF">2018-12-28T12:51:00Z</dcterms:modified>
</cp:coreProperties>
</file>